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可再生能源法"/>
      <w:bookmarkEnd w:id="0"/>
      <w:r>
        <w:rPr>
          <w:rFonts w:ascii="方正小标宋简体" w:eastAsia="方正小标宋简体" w:hAnsi="方正小标宋简体" w:cs="方正小标宋简体" w:hint="eastAsia"/>
          <w:color w:val="333333"/>
          <w:sz w:val="44"/>
          <w:szCs w:val="44"/>
          <w:shd w:val="clear" w:color="auto" w:fill="FFFFFF"/>
        </w:rPr>
        <w:t>中华人民共和国可再生能源法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（2005年2月28日第十届全国人民代表大会常务委员会第十四次会议通过　根据2009年12月26日第十一届全国人民代表大会常务委员会第十二次会议《关于修改〈中华人民共和国可再生能源法〉的决定》修正）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资源调查与发展规划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产业指导与技术支持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推广与应用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价格管理与费用补偿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经济激励与监督措施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为了促进可再生能源的开发利用，增加能源供应，改善能源结构，保障能源安全，保护环境，实现经济社会的可持续发展，制定本法。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本法所称可再生能源，是指风能、太阳能、水能、生物质能、地热能、海洋能等非化石能源。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水力发电对本法的适用，由国务院能源主管部门规定，报国务院批准。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通过低效率炉灶直接燃烧方式利用秸秆、薪柴、粪便等，不适用本法。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本法适用于中华人民共和国领域和管辖的其他海域。</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国家将可再生能源的开发利用列为能源发展的优先领域，通过制定可再生能源开发利用总量目标和采取相应措施，推动可再生能源市场的建立和发展。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国家鼓励各种所有制经济主体参与可再生能源的开发利用，依法保护可再生能源开发利用者的合法权益。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国务院能源主管部门对全国可再生能源的开发利用实施统一管理。国务院有关部门在各自的职责范围内负责有关的可再生能源开发利用管理工作。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县级以上地方人民政府管理能源工作的部门负责本行政区域内可再生能源开发利用的管理工作。县级以上地方人民政府有关部门在各自的职责范围内负责有关的可再生能源开发利用管理工作。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资源调查与发展规划"/>
      <w:bookmarkEnd w:id="9"/>
      <w:r>
        <w:rPr>
          <w:rFonts w:ascii="Times New Roman" w:eastAsia="黑体" w:hAnsi="Times New Roman" w:cs="黑体" w:hint="eastAsia"/>
          <w:szCs w:val="32"/>
        </w:rPr>
        <w:t>第二章　资源调查与发展规划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国务院能源主管部门负责组织和协调全国可再生能源资源的调查，并会同国务院有关部门组织制定资源调查的技术规范。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国务院有关部门在各自的职责范围内负责相关可再生能源资源的调查，调查结果报国务院能源主管部门汇总。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可再生能源资源的调查结果应当公布；但是，国家规定需要保密的内容除外。</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国务院能源主管部门根据全国能源需求与可再生能源资源实际状况，制定全国可再生能源开发利用中长期总量目标，报国务院批准后执行，并予公布。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国务院能源主管部门根据前款规定的总量目标和省、自治区、直辖市经济发展与可再生能源资源实际状况，会同省、自治区、直辖市人民政府确定各行政区域可再生能源开发利用中长期目标，并予公布。</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国务院能源主管部门会同国务院有关部门，根据全国可再生能源开发利用中长期总量目标和可再生能源技术发展状况，编制全国可再生能源开发利用规划，报国务院批准后实施。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国务院有关部门应当制定有利于促进全国可再生能源开发利用中长期总量目标实现的相关规划。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管理能源工作的部门会同本级人民政府有关部门，依据全国可再生能源开发利用规划和本行政区域可再生能源开发利用中长期目标，编制本行政区域可再生能源开发利用规划，经本级人民政府批准后，报国务院能源主管部门和国家电力监管机构备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经批准的规划应当公布；但是，国家规定需要保密的内容除外。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经批准的规划需要修改的，须经原批准机关批准。</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编制可再生能源开发利用规划，应当遵循因地制宜、统筹兼顾、合理布局、有序发展的原则，对风能、太阳能、水能、生物质能、地热能、海洋能等可再生能源的开发利用作出统筹安排。规划内容应当包括发展目标、主要任务、区域布局、重点项目、实施进度、配套电网建设、服务体系和保障措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组织编制机关应当征求有关单位、专家和公众的意见，进行科学论证。</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产业指导与技术支持"/>
      <w:bookmarkEnd w:id="14"/>
      <w:r>
        <w:rPr>
          <w:rFonts w:ascii="Times New Roman" w:eastAsia="黑体" w:hAnsi="Times New Roman" w:cs="黑体" w:hint="eastAsia"/>
          <w:szCs w:val="32"/>
        </w:rPr>
        <w:t>第三章　产业指导与技术支持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国务院能源主管部门根据全国可再生能源开发利用规划，制定、公布可再生能源产业发展指导目录。</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国务院标准化行政主管部门应当制定、公布国家可再生能源电力的并网技术标准和其他需要在全国范围内统一技术要求的有关可再生能源技术和产品的国家标准。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对前款规定的国家标准中未作规定的技术要求，国务院有关部门可以制定相关的行业标准，并报国务院标准化行政主管部门备案。</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将可再生能源开发利用的科学技术研究和产业化发展列为科技发展与高技术产业发展的优先领域，纳入国家科技发展规划和高技术产业发展规划，并安排资金支持可再生能源开发利用的科学技术研究、应用示范和产业化发展，促进可再生能源开发利用的技术进步，降低可再生能源产品的生产成本，提高产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国务院教育行政部门应当将可再生能源知识和技术纳入普通教育、职业教育课程。</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四章 推广与应用"/>
      <w:bookmarkEnd w:id="18"/>
      <w:r>
        <w:rPr>
          <w:rFonts w:ascii="Times New Roman" w:eastAsia="黑体" w:hAnsi="Times New Roman" w:cs="黑体" w:hint="eastAsia"/>
          <w:szCs w:val="32"/>
        </w:rPr>
        <w:t>第四章　推广与应用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三条"/>
      <w:bookmarkEnd w:id="19"/>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国家鼓励和支持可再生能源并网发电。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建设可再生能源并网发电项目，应当依照法律和国务院的规定取得行政许可或者报送备案。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建设应当取得行政许可的可再生能源并网发电项目，有多人申请同一项目许可的，应当依法通过招标确定被许可人。</w:t>
      </w:r>
    </w:p>
    <w:p>
      <w:pPr>
        <w:ind w:firstLine="640" w:firstLineChars="200"/>
        <w:rPr>
          <w:rFonts w:ascii="Times New Roman" w:hAnsi="Times New Roman" w:cs="仿宋_GB2312"/>
          <w:sz w:val="32"/>
          <w:szCs w:val="32"/>
        </w:rPr>
      </w:pPr>
      <w:bookmarkStart w:id="20" w:name="第十四条"/>
      <w:bookmarkEnd w:id="20"/>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国家实行可再生能源发电全额保障性收购制度。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能源主管部门会同国家电力监管机构和国务院财政部门，按照全国可再生能源开发利用规划，确定在规划期内应当达到的可再生能源发电量占全部发电量的比重，制定电网企业优先调度和全额收购可再生能源发电的具体办法，并由国务院能源主管部门会同国家电力监管机构在年度中督促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网企业应当与按照可再生能源开发利用规划建设，依法取得行政许可或者报送备案的可再生能源发电企业签订并网协议，全额收购其电网覆盖范围内符合并网技术标准的可再生能源并网发电项目的上网电量。发电企业有义务配合电网企业保障电网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电网企业应当加强电网建设，扩大可再生能源电力配置范围，发展和应用智能电网、储能等技术，完善电网运行管理，提高吸纳可再生能源电力的能力，为可再生能源发电提供上网服务。</w:t>
      </w: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国家扶持在电网未覆盖的地区建设可再生能源独立电力系统，为当地生产和生活提供电力服务。</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国家鼓励清洁、高效地开发利用生物质燃料，鼓励发展能源作物。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利用生物质资源生产的燃气和热力，符合城市燃气管网、热力管网的入网技术标准的，经营燃气管网、热力管网的企业应当接收其入网。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国家鼓励生产和利用生物液体燃料。石油销售企业应当按照国务院能源主管部门或者省级人民政府的规定，将符合国家标准的生物液体燃料纳入其燃料销售体系。</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国家鼓励单位和个人安装和使用太阳能热水系统、太阳能供热采暖和制冷系统、太阳能光伏发电系统等太阳能利用系统。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国务院建设行政主管部门会同国务院有关部门制定太阳能利用系统与建筑结合的技术经济政策和技术规范。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房地产开发企业应当根据前款规定的技术规范，在建筑物的设计和施工中，为太阳能利用提供必备条件。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对已建成的建筑物，住户可以在不影响其质量与安全的前提下安装符合技术规范和产品标准的太阳能利用系统；但是，当事人另有约定的除外。</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国家鼓励和支持农村地区的可再生能源开发利用。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管理能源工作的部门会同有关部门，根据当地经济社会发展、生态保护和卫生综合治理需要等实际情况，制定农村地区可再生能源发展规划，因地制宜地推广应用沼气等生物质资源转化、户用太阳能、小型风能、小型水能等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县级以上人民政府应当对农村地区的可再生能源利用项目提供财政支持。</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五章 价格管理与费用补偿"/>
      <w:bookmarkEnd w:id="25"/>
      <w:r>
        <w:rPr>
          <w:rFonts w:ascii="Times New Roman" w:eastAsia="黑体" w:hAnsi="Times New Roman" w:cs="黑体" w:hint="eastAsia"/>
          <w:szCs w:val="32"/>
        </w:rPr>
        <w:t>第五章　价格管理与费用补偿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十九条"/>
      <w:bookmarkEnd w:id="26"/>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可再生能源发电项目的上网电价，由国务院价格主管部门根据不同类型可再生能源发电的特点和不同地区的情况，按照有利于促进可再生能源开发利用和经济合理的原则确定，并根据可再生能源开发利用技术的发展适时调整。上网电价应当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依照本法第十三条第三款规定实行招标的可再生能源发电项目的上网电价，按照中标确定的价格执行；但是，不得高于依照前款规定确定的同类可再生能源发电项目的上网电价水平。</w:t>
      </w: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电网企业依照本法第十九条规定确定的上网电价收购可再生能源电量所发生的费用，高于按照常规能源发电平均上网电价计算所发生费用之间的差额，由在全国范围对销售电量征收可再生能源电价附加补偿。</w:t>
      </w: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电网企业为收购可再生能源电量而支付的合理的接网费用以及其他合理的相关费用，可以计入电网企业输电成本，并从销售电价中回收。</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国家投资或者补贴建设的公共可再生能源独立电力系统的销售电价，执行同一地区分类销售电价，其合理的运行和管理费用超出销售电价的部分，依照本法第二十条的规定补偿。</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进入城市管网的可再生能源热力和燃气的价格，按照有利于促进可再生能源开发利用和经济合理的原则，根据价格管理权限确定。</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六章 经济激励与监督措施"/>
      <w:bookmarkEnd w:id="31"/>
      <w:r>
        <w:rPr>
          <w:rFonts w:ascii="Times New Roman" w:eastAsia="黑体" w:hAnsi="Times New Roman" w:cs="黑体" w:hint="eastAsia"/>
          <w:szCs w:val="32"/>
        </w:rPr>
        <w:t>第六章　经济激励与监督措施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四条"/>
      <w:bookmarkEnd w:id="32"/>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国家财政设立可再生能源发展基金，资金来源包括国家财政年度安排的专项资金和依法征收的可再生能源电价附加收入等。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可再生能源发展基金用于补偿本法第二十条、第二十二条规定的差额费用，并用于支持以下事项：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（一）可再生能源开发利用的科学技术研究、标准制定和示范工程；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（二）农村、牧区的可再生能源利用项目；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（三）偏远地区和海岛可再生能源独立电力系统建设；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（四）可再生能源的资源勘查、评价和相关信息系统建设；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（五）促进可再生能源开发利用设备的本地化生产。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本法第二十一条规定的接网费用以及其他相关费用，电网企业不能通过销售电价回收的，可以申请可再生能源发展基金补助。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可再生能源发展基金征收使用管理的具体办法，由国务院财政部门会同国务院能源、价格主管部门制定。</w:t>
      </w:r>
    </w:p>
    <w:p>
      <w:pPr>
        <w:ind w:firstLine="640" w:firstLineChars="200"/>
        <w:rPr>
          <w:rFonts w:ascii="Times New Roman" w:hAnsi="Times New Roman" w:cs="仿宋_GB2312"/>
          <w:sz w:val="32"/>
          <w:szCs w:val="32"/>
        </w:rPr>
      </w:pPr>
      <w:bookmarkStart w:id="33" w:name="第二十五条"/>
      <w:bookmarkEnd w:id="33"/>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对列入国家可再生能源产业发展指导目录、符合信贷条件的可再生能源开发利用项目，金融机构可以提供有财政贴息的优惠贷款。</w:t>
      </w: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国家对列入可再生能源产业发展指导目录的项目给予税收优惠。具体办法由国务院规定。</w:t>
      </w:r>
    </w:p>
    <w:p>
      <w:pPr>
        <w:ind w:firstLine="640" w:firstLineChars="200"/>
        <w:rPr>
          <w:rFonts w:ascii="Times New Roman" w:hAnsi="Times New Roman" w:cs="仿宋_GB2312"/>
          <w:sz w:val="32"/>
          <w:szCs w:val="32"/>
        </w:rPr>
      </w:pPr>
      <w:bookmarkStart w:id="35" w:name="第二十七条"/>
      <w:bookmarkEnd w:id="35"/>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电力企业应当真实、完整地记载和保存可再生能源发电的有关资料，并接受电力监管机构的检查和监督。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电力监管机构进行检查时，应当依照规定的程序进行，并为被检查单位保守商业秘密和其他秘密。</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七章 法律责任"/>
      <w:bookmarkEnd w:id="36"/>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八条"/>
      <w:bookmarkEnd w:id="37"/>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务院能源主管部门和县级以上地方人民政府管理能源工作的部门和其他有关部门在可再生能源开发利用监督管理工作中，违反本法规定，有下列行为之一的，由本级人民政府或者上级人民政府有关部门责令改正，对负有责任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（一）不依法作出行政许可决定的；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（二）发现违法行为不予查处的；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（三）有不依法履行监督管理职责的其他行为的。</w:t>
      </w:r>
    </w:p>
    <w:p>
      <w:pPr>
        <w:ind w:firstLine="640" w:firstLineChars="200"/>
        <w:rPr>
          <w:rFonts w:ascii="Times New Roman" w:hAnsi="Times New Roman" w:cs="仿宋_GB2312"/>
          <w:sz w:val="32"/>
          <w:szCs w:val="32"/>
        </w:rPr>
      </w:pPr>
      <w:bookmarkStart w:id="38" w:name="第二十九条"/>
      <w:bookmarkEnd w:id="38"/>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十四条规定，电网企业未按照规定完成收购可再生能源电量，造成可再生能源发电企业经济损失的，应当承担赔偿责任，并由国家电力监管机构责令限期改正；拒不改正的，处以可再生能源发电企业经济损失额一倍以下的罚款。</w:t>
      </w:r>
    </w:p>
    <w:p>
      <w:pPr>
        <w:ind w:firstLine="640" w:firstLineChars="200"/>
        <w:rPr>
          <w:rFonts w:ascii="Times New Roman" w:hAnsi="Times New Roman" w:cs="仿宋_GB2312"/>
          <w:sz w:val="32"/>
          <w:szCs w:val="32"/>
        </w:rPr>
      </w:pPr>
      <w:bookmarkStart w:id="39" w:name="第三十条"/>
      <w:bookmarkEnd w:id="39"/>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法第十六条第二款规定，经营燃气管网、热力管网的企业不准许符合入网技术标准的燃气、热力入网，造成燃气、热力生产企业经济损失的，应当承担赔偿责任，并由省级人民政府管理能源工作的部门责令限期改正；拒不改正的，处以燃气、热力生产企业经济损失额一倍以下的罚款。</w:t>
      </w:r>
    </w:p>
    <w:p>
      <w:pPr>
        <w:ind w:firstLine="640" w:firstLineChars="200"/>
        <w:rPr>
          <w:rFonts w:ascii="Times New Roman" w:hAnsi="Times New Roman" w:cs="仿宋_GB2312"/>
          <w:sz w:val="32"/>
          <w:szCs w:val="32"/>
        </w:rPr>
      </w:pPr>
      <w:bookmarkStart w:id="40" w:name="第三十一条"/>
      <w:bookmarkEnd w:id="40"/>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十六条第三款规定，石油销售企业未按照规定将符合国家标准的生物液体燃料纳入其燃料销售体系，造成生物液体燃料生产企业经济损失的，应当承担赔偿责任，并由国务院能源主管部门或者省级人民政府管理能源工作的部门责令限期改正；拒不改正的，处以生物液体燃料生产企业经济损失额一倍以下的罚款。</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八章 附则"/>
      <w:bookmarkEnd w:id="4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二条"/>
      <w:bookmarkEnd w:id="42"/>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本法中下列用语的含义：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（一）生物质能，是指利用自然界的植物、粪便以及城乡有机废物转化成的能源。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（二）可再生能源独立电力系统，是指不与电网连接的单独运行的可再生能源电力系统。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（三）能源作物，是指经专门种植，用以提供能源原料的草本和木本植物。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（四）生物液体燃料，是指利用生物质资源生产的甲醇、乙醇和生物柴油等液体燃料。</w:t>
      </w:r>
    </w:p>
    <w:p>
      <w:pPr>
        <w:ind w:firstLine="640" w:firstLineChars="200"/>
        <w:rPr>
          <w:rFonts w:ascii="Times New Roman" w:hAnsi="Times New Roman" w:cs="仿宋_GB2312"/>
          <w:sz w:val="32"/>
          <w:szCs w:val="32"/>
        </w:rPr>
      </w:pPr>
      <w:bookmarkStart w:id="43" w:name="第三十三条"/>
      <w:bookmarkEnd w:id="43"/>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本法自2006年1月1日起施行。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