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国防动员法"/>
      <w:bookmarkEnd w:id="0"/>
      <w:r>
        <w:rPr>
          <w:rFonts w:ascii="方正小标宋简体" w:eastAsia="方正小标宋简体" w:hAnsi="方正小标宋简体" w:cs="方正小标宋简体" w:hint="eastAsia"/>
          <w:color w:val="333333"/>
          <w:sz w:val="44"/>
          <w:szCs w:val="44"/>
          <w:shd w:val="clear" w:color="auto" w:fill="FFFFFF"/>
        </w:rPr>
        <w:t>中华人民共和国国防动员法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（2010年2月26日第十一届全国人民代表大会常务委员会第十三次会议通过）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组织领导机构及其职权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国防动员计划、实施预案与潜力统计调查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与国防密切相关的建设项目和重要产品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预备役人员的储备与征召</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战略物资储备与调用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军品科研、生产与维修保障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战争灾害的预防与救助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国防勤务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民用资源征用与补偿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宣传教育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特别措施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第十三章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第十四章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为了加强国防建设，完善国防动员制度，保障国防动员工作的顺利进行，维护国家的主权、统一、领土完整和安全，根据宪法，制定本法。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国防动员的准备、实施以及相关活动，适用本法。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国家加强国防动员建设，建立健全与国防安全需要相适应、与经济社会发展相协调、与突发事件应急机制相衔接的国防动员体系，增强国防动员能力。</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国防动员坚持平战结合、军民结合、寓军于民的方针，遵循统一领导、全民参与、长期准备、重点建设、统筹兼顾、有序高效的原则。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公民和组织在和平时期应当依法完成国防动员准备工作；国家决定实施国防动员后，应当完成规定的国防动员任务。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国家保障国防动员所需经费。国防动员经费按照事权划分的原则，分别列入中央和地方财政预算。</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国家对在国防动员工作中作出突出贡献的公民和组织，给予表彰和奖励。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组织领导机构及其职权"/>
      <w:bookmarkEnd w:id="11"/>
      <w:r>
        <w:rPr>
          <w:rFonts w:ascii="Times New Roman" w:eastAsia="黑体" w:hAnsi="Times New Roman" w:cs="黑体" w:hint="eastAsia"/>
          <w:szCs w:val="32"/>
        </w:rPr>
        <w:t>第二章　组织领导机构及其职权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国家的主权、统一、领土完整和安全遭受威胁时，全国人民代表大会常务委员会依照宪法和有关法律的规定，决定全国总动员或者局部动员。国家主席根据全国人民代表大会常务委员会的决定，发布动员令。</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中央军事委员会共同领导全国的国防动员工作，制定国防动员工作的方针、政策和法规，向全国人民代表大会常务委员会提出实施全国总动员或者局部动员的议案，根据全国人民代表大会常务委员会的决定和国家主席发布的动员令，组织国防动员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国家的主权、统一、领土完整和安全遭受直接威胁必须立即采取应对措施时，国务院、中央军事委员会可以根据应急处置的需要，采取本法规定的必要的国防动员措施，同时向全国人民代表大会常务委员会报告。</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地方人民政府应当贯彻和执行国防动员工作的方针、政策和法律、法规；国家决定实施国防动员后，应当根据上级下达的国防动员任务，组织本行政区域国防动员的实施。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县级以上地方人民政府依照法律规定的权限管理本行政区域的国防动员工作。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县级以上人民政府有关部门和军队有关部门在各自的职责范围内，负责有关的国防动员工作。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国防动员委员会在国务院、中央军事委员会的领导下负责组织、指导、协调全国的国防动员工作；按照规定的权限和程序议定的事项，由国务院和中央军事委员会的有关部门按照各自职责分工组织实施。军区国防动员委员会、县级以上地方各级国防动员委员会负责组织、指导、协调本区域的国防动员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国防动员委员会的办事机构承担本级国防动员委员会的日常工作，依法履行有关的国防动员职责。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国家的主权、统一、领土完整和安全遭受的威胁消除后，应当按照决定实施国防动员的权限和程序解除国防动员的实施措施。</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国防动员计划、实施预案与潜力统计调查"/>
      <w:bookmarkEnd w:id="19"/>
      <w:r>
        <w:rPr>
          <w:rFonts w:ascii="Times New Roman" w:eastAsia="黑体" w:hAnsi="Times New Roman" w:cs="黑体" w:hint="eastAsia"/>
          <w:szCs w:val="32"/>
        </w:rPr>
        <w:t>第三章　国防动员计划、实施预案与潜力统计调查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国家实行国防动员计划、国防动员实施预案和国防动员潜力统计调查制度。</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国防动员计划和国防动员实施预案，根据国防动员的方针和原则、国防动员潜力状况和军事需求编制。军事需求由军队有关部门按照规定的权限和程序提出。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国防动员实施预案与突发事件应急处置预案应当在指挥、力量使用、信息和保障等方面相互衔接。</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各级国防动员计划和国防动员实施预案的编制和审批，按照国家有关规定执行。</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县级以上人民政府应当将国防动员的相关内容纳入国民经济和社会发展计划。军队有关部门应当将国防动员实施预案纳入战备计划。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县级以上人民政府及其有关部门和军队有关部门应当按照职责落实国防动员计划和国防动员实施预案。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应当根据国防动员的需要，准确及时地向本级国防动员委员会的办事机构提供有关统计资料。提供的统计资料不能满足需要时，国防动员委员会办事机构可以依据《中华人民共和国统计法》和国家有关规定组织开展国防动员潜力专项统计调查。</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国家建立国防动员计划和国防动员实施预案执行情况的评估检查制度。</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与国防密切相关的建设项目和重要产品"/>
      <w:bookmarkEnd w:id="26"/>
      <w:r>
        <w:rPr>
          <w:rFonts w:ascii="Times New Roman" w:eastAsia="黑体" w:hAnsi="Times New Roman" w:cs="黑体" w:hint="eastAsia"/>
          <w:szCs w:val="32"/>
        </w:rPr>
        <w:t>第四章　与国防密切相关的建设项目和重要产品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根据国防动员的需要，与国防密切相关的建设项目和重要产品应当贯彻国防要求，具备国防功能。</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与国防密切相关的建设项目和重要产品目录，由国务院经济发展综合管理部门会同国务院其他有关部门以及军队有关部门拟定，报国务院、中央军事委员会批准。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列入目录的建设项目和重要产品，其军事需求由军队有关部门提出；建设项目审批、核准和重要产品设计定型时，县级以上人民政府有关主管部门应当按照规定征求军队有关部门的意见。</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列入目录的建设项目和重要产品，应当依照有关法律、行政法规和贯彻国防要求的技术规范和标准进行设计、生产、施工、监理和验收，保证建设项目和重要产品的质量。</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企业事业单位投资或者参与投资列入目录的建设项目建设或者重要产品研究、开发、制造的，依照有关法律、行政法规和国家有关规定，享受补贴或者其他政策优惠。</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县级以上人民政府应当对列入目录的建设项目和重要产品贯彻国防要求工作给予指导和政策扶持，有关部门应当按照职责做好有关的管理工作。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预备役人员的储备与征召"/>
      <w:bookmarkEnd w:id="32"/>
      <w:r>
        <w:rPr>
          <w:rFonts w:ascii="Times New Roman" w:eastAsia="黑体" w:hAnsi="Times New Roman" w:cs="黑体" w:hint="eastAsia"/>
          <w:szCs w:val="32"/>
        </w:rPr>
        <w:t>第五章　预备役人员的储备与征召</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国家实行预备役人员储备制度。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国家根据国防动员的需要，按照规模适度、结构科学、布局合理的原则，储备所需的预备役人员。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国务院、中央军事委员会根据国防动员的需要，决定预备役人员储备的规模、种类和方式。</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预备役人员按照专业对口、便于动员的原则，采取预编到现役部队、编入预备役部队、编入民兵组织或者其他形式进行储备。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国家根据国防动员的需要，建立预备役专业技术兵员储备区。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国家为预备役人员训练、储备提供条件和保障。预备役人员应当依法参加训练。</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兵役机关负责组织实施本行政区域预备役人员的储备工作。县级以上地方人民政府有关部门、预备役人员所在乡（镇）人民政府、街道办事处或者企业事业单位，应当协助兵役机关做好预备役人员储备的有关工作。</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预编到现役部队和编入预备役部队的预备役人员、预定征召的其他预备役人员，离开预备役登记地一个月以上的，应当向其预备役登记的兵役机关报告。</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国家决定实施国防动员后，县级人民政府兵役机关应当根据上级的命令，迅速向被征召的预备役人员下达征召通知。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接到征召通知的预备役人员应当按照通知要求，到指定地点报到。</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被征召的预备役人员所在单位应当协助兵役机关做好预备役人员的征召工作。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从事交通运输的单位和个人，应当优先运送被征召的预备役人员。</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决定实施国防动员后，预定征召的预备役人员，未经其预备役登记地的县级人民政府兵役机关批准，不得离开预备役登记地；已经离开预备役登记地的，接到兵役机关通知后，应当立即返回或者到指定地点报到。</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战略物资储备与调用"/>
      <w:bookmarkEnd w:id="40"/>
      <w:r>
        <w:rPr>
          <w:rFonts w:ascii="Times New Roman" w:eastAsia="黑体" w:hAnsi="Times New Roman" w:cs="黑体" w:hint="eastAsia"/>
          <w:szCs w:val="32"/>
        </w:rPr>
        <w:t>第六章　战略物资储备与调用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国家实行适应国防动员需要的战略物资储备和调用制度。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战略物资储备由国务院有关主管部门组织实施。</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承担战略物资储备任务的单位，应当按照国家有关规定和标准对储备物资进行保管和维护，定期调整更换，保证储备物资的使用效能和安全。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国家按照有关规定对承担战略物资储备任务的单位给予补贴。</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战略物资按照国家有关规定调用。国家决定实施国防动员后，战略物资的调用由国务院和中央军事委员会批准。</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国防动员所需的其他物资的储备和调用，依照有关法律、行政法规的规定执行。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军品科研、生产与维修保障"/>
      <w:bookmarkEnd w:id="45"/>
      <w:r>
        <w:rPr>
          <w:rFonts w:ascii="Times New Roman" w:eastAsia="黑体" w:hAnsi="Times New Roman" w:cs="黑体" w:hint="eastAsia"/>
          <w:szCs w:val="32"/>
        </w:rPr>
        <w:t>第七章　军品科研、生产与维修保障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国家建立军品科研、生产和维修保障动员体系，根据战时军队订货和装备保障的需要，储备军品科研、生产和维修保障能力。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本法所称军品，是指用于军事目的的装备、物资以及专用生产设备、器材等。</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军品科研、生产和维修保障能力储备的种类、布局和规模，由国务院有关主管部门会同军队有关部门提出方案，报国务院、中央军事委员会批准后组织实施。</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承担转产、扩大生产军品和维修保障任务的单位，应当根据所担负的国防动员任务，储备所需的设备、材料、配套产品、技术，建立所需的专业技术队伍，制定和完善预案与措施。</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各级人民政府应当支持和帮助承担转产、扩大生产军品任务的单位开发和应用先进的军民两用技术，推广军民通用的技术标准，提高转产、扩大生产军品的综合保障能力。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国务院有关主管部门应当对重大的跨地区、跨行业的转产、扩大生产军品任务的实施进行协调，并给予支持。</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决定实施国防动员后，承担转产、扩大生产军品任务的单位，应当按照国家军事订货合同和转产、扩大生产的要求，组织军品科研、生产，保证军品质量，按时交付订货，协助军队完成维修保障任务。为转产、扩大生产军品提供能源、材料、设备和配套产品的单位，应当优先满足转产、扩大生产军品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国家对因承担转产、扩大生产军品任务造成直接经济损失的单位给予补偿。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八章 战争灾害的预防与救助"/>
      <w:bookmarkEnd w:id="51"/>
      <w:r>
        <w:rPr>
          <w:rFonts w:ascii="Times New Roman" w:eastAsia="黑体" w:hAnsi="Times New Roman" w:cs="黑体" w:hint="eastAsia"/>
          <w:szCs w:val="32"/>
        </w:rPr>
        <w:t>第八章　战争灾害的预防与救助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国家实行战争灾害的预防与救助制度，保护人民生命和财产安全，保障国防动员潜力和持续动员能力。</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国家建立军事、经济、社会目标和首脑机关分级防护制度。分级防护标准由国务院、中央军事委员会规定。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军事、经济、社会目标和首脑机关的防护工作，由县级以上人民政府会同有关军事机关共同组织实施。</w:t>
      </w: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承担军事、经济、社会目标和首脑机关防护任务的单位，应当制定防护计划和抢险抢修预案，组织防护演练，落实防护措施，提高综合防护效能。</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国家建立平战结合的医疗卫生救护体系。国家决定实施国防动员后，动员医疗卫生人员、调用药品器材和设备设施，保障战时医疗救护和卫生防疫。</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国家决定实施国防动员后，人员、物资的疏散和隐蔽，在本行政区域进行的，由本级人民政府决定并组织实施；跨行政区域进行的，由相关行政区域共同的上一级人民政府决定并组织实施。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承担人员、物资疏散和隐蔽任务的单位，应当按照有关人民政府的决定，在规定时间内完成疏散和隐蔽任务。</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战争灾害发生时，当地人民政府应当迅速启动应急救助机制，组织力量抢救伤员、安置灾民、保护财产，尽快消除战争灾害后果，恢复正常生产生活秩序。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遭受战争灾害的人员和组织应当及时采取自救、互救措施，减少战争灾害造成的损失。</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九章 国防勤务"/>
      <w:bookmarkEnd w:id="58"/>
      <w:r>
        <w:rPr>
          <w:rFonts w:ascii="Times New Roman" w:eastAsia="黑体" w:hAnsi="Times New Roman" w:cs="黑体" w:hint="eastAsia"/>
          <w:szCs w:val="32"/>
        </w:rPr>
        <w:t>第九章　国防勤务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四十八条"/>
      <w:bookmarkEnd w:id="59"/>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国家决定实施国防动员后，县级以上人民政府根据国防动员实施的需要，可以动员符合本法规定条件的公民和组织担负国防勤务。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本法所称国防勤务，是指支援保障军队作战、承担预防与救助战争灾害以及协助维护社会秩序的任务。</w:t>
      </w:r>
    </w:p>
    <w:p>
      <w:pPr>
        <w:ind w:firstLine="640" w:firstLineChars="200"/>
        <w:rPr>
          <w:rFonts w:ascii="Times New Roman" w:hAnsi="Times New Roman" w:cs="仿宋_GB2312"/>
          <w:sz w:val="32"/>
          <w:szCs w:val="32"/>
        </w:rPr>
      </w:pPr>
      <w:bookmarkStart w:id="60" w:name="第四十九条"/>
      <w:bookmarkEnd w:id="60"/>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十八周岁至六十周岁的男性公民和十八周岁至五十五周岁的女性公民，应当担负国防勤务；但有下列情形之一的，免予担负国防勤务：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（一）在托儿所、幼儿园和孤儿院、养老院、残疾人康复机构、救助站等社会福利机构从事管理和服务工作的公民；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（二）从事义务教育阶段学校教学、管理和服务工作的公民；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（三）怀孕和在哺乳期内的女性公民；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（四）患病无法担负国防勤务的公民；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（五）丧失劳动能力的公民；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（六）在联合国等政府间国际组织任职的公民；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（七）其他经县级以上人民政府决定免予担负国防勤务的公民。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有特殊专长的专业技术人员担负特定的国防勤务，不受前款规定的年龄限制。</w:t>
      </w:r>
    </w:p>
    <w:p>
      <w:pPr>
        <w:ind w:firstLine="640" w:firstLineChars="200"/>
        <w:rPr>
          <w:rFonts w:ascii="Times New Roman" w:hAnsi="Times New Roman" w:cs="仿宋_GB2312"/>
          <w:sz w:val="32"/>
          <w:szCs w:val="32"/>
        </w:rPr>
      </w:pPr>
      <w:bookmarkStart w:id="61" w:name="第五十条"/>
      <w:bookmarkEnd w:id="61"/>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被确定担负国防勤务的人员，应当服从指挥、履行职责、遵守纪律、保守秘密。担负国防勤务的人员所在单位应当给予支持和协助。</w:t>
      </w:r>
    </w:p>
    <w:p>
      <w:pPr>
        <w:ind w:firstLine="640" w:firstLineChars="200"/>
        <w:rPr>
          <w:rFonts w:ascii="Times New Roman" w:hAnsi="Times New Roman" w:cs="仿宋_GB2312"/>
          <w:sz w:val="32"/>
          <w:szCs w:val="32"/>
        </w:rPr>
      </w:pPr>
      <w:bookmarkStart w:id="62" w:name="第五十一条"/>
      <w:bookmarkEnd w:id="6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交通运输、邮政、电信、医药卫生、食品和粮食供应、工程建筑、能源化工、大型水利设施、民用核设施、新闻媒体、国防科研生产和市政设施保障等单位，应当依法担负国防勤务。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前款规定的单位平时应当按照专业对口、人员精干、应急有效的原则组建专业保障队伍，组织训练、演练，提高完成国防勤务的能力。</w:t>
      </w:r>
    </w:p>
    <w:p>
      <w:pPr>
        <w:ind w:firstLine="640" w:firstLineChars="200"/>
        <w:rPr>
          <w:rFonts w:ascii="Times New Roman" w:hAnsi="Times New Roman" w:cs="仿宋_GB2312"/>
          <w:sz w:val="32"/>
          <w:szCs w:val="32"/>
        </w:rPr>
      </w:pPr>
      <w:bookmarkStart w:id="63" w:name="第五十二条"/>
      <w:bookmarkEnd w:id="6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公民和组织担负国防勤务，由县级以上人民政府负责组织。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担负预防与救助战争灾害、协助维护社会秩序勤务的公民和专业保障队伍，由当地人民政府指挥，并提供勤务和生活保障；跨行政区域执行勤务的，由相关行政区域的县级以上地方人民政府组织落实相关保障。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担负支援保障军队作战勤务的公民和专业保障队伍，由军事机关指挥，伴随部队行动的由所在部队提供勤务和生活保障；其他的由当地人民政府提供勤务和生活保障。</w:t>
      </w: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担负国防勤务的人员在执行勤务期间，继续享有原工作单位的工资、津贴和其他福利待遇；没有工作单位的，由当地县级人民政府参照民兵执行战备勤务的补贴标准给予补贴；因执行国防勤务伤亡的，由当地县级人民政府依照《军人抚恤优待条例》等有关规定给予抚恤优待。</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十章 民用资源征用与补偿"/>
      <w:bookmarkEnd w:id="65"/>
      <w:r>
        <w:rPr>
          <w:rFonts w:ascii="Times New Roman" w:eastAsia="黑体" w:hAnsi="Times New Roman" w:cs="黑体" w:hint="eastAsia"/>
          <w:szCs w:val="32"/>
        </w:rPr>
        <w:t>第十章　民用资源征用与补偿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四条"/>
      <w:bookmarkEnd w:id="66"/>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国家决定实施国防动员后，储备物资无法及时满足动员需要的，县级以上人民政府可以依法对民用资源进行征用。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本法所称民用资源，是指组织和个人所有或者使用的用于社会生产、服务和生活的设施、设备、场所和其他物资。</w:t>
      </w:r>
    </w:p>
    <w:p>
      <w:pPr>
        <w:ind w:firstLine="640" w:firstLineChars="200"/>
        <w:rPr>
          <w:rFonts w:ascii="Times New Roman" w:hAnsi="Times New Roman" w:cs="仿宋_GB2312"/>
          <w:sz w:val="32"/>
          <w:szCs w:val="32"/>
        </w:rPr>
      </w:pPr>
      <w:bookmarkStart w:id="67" w:name="第五十五条"/>
      <w:bookmarkEnd w:id="67"/>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任何组织和个人都有接受依法征用民用资源的义务。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使用民用资源的中国人民解放军现役部队和预备役部队、中国人民武装警察部队、民兵组织，应当提出征用需求，由县级以上地方人民政府统一组织征用。县级以上地方人民政府应当对被征用的民用资源予以登记，向被征用人出具凭证。</w:t>
      </w:r>
    </w:p>
    <w:p>
      <w:pPr>
        <w:ind w:firstLine="640" w:firstLineChars="200"/>
        <w:rPr>
          <w:rFonts w:ascii="Times New Roman" w:hAnsi="Times New Roman" w:cs="仿宋_GB2312"/>
          <w:sz w:val="32"/>
          <w:szCs w:val="32"/>
        </w:rPr>
      </w:pPr>
      <w:bookmarkStart w:id="68" w:name="第五十六条"/>
      <w:bookmarkEnd w:id="68"/>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下列民用资源免予征用：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（一）个人和家庭生活必需的物品和居住场所；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（二）托儿所、幼儿园和孤儿院、养老院、残疾人康复机构、救助站等社会福利机构保障儿童、老人、残疾人和救助对象生活必需的物品和居住场所；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（三）法律、行政法规规定免予征用的其他民用资源。</w:t>
      </w:r>
    </w:p>
    <w:p>
      <w:pPr>
        <w:ind w:firstLine="640" w:firstLineChars="200"/>
        <w:rPr>
          <w:rFonts w:ascii="Times New Roman" w:hAnsi="Times New Roman" w:cs="仿宋_GB2312"/>
          <w:sz w:val="32"/>
          <w:szCs w:val="32"/>
        </w:rPr>
      </w:pPr>
      <w:bookmarkStart w:id="69" w:name="第五十七条"/>
      <w:bookmarkEnd w:id="69"/>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被征用的民用资源根据军事要求需要进行改造的，由县级以上地方人民政府会同有关军事机关组织实施。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承担改造任务的单位应当按照使用单位提出的军事要求和改造方案进行改造，并保证按期交付使用。改造所需经费由国家负担。</w:t>
      </w:r>
    </w:p>
    <w:p>
      <w:pPr>
        <w:ind w:firstLine="640" w:firstLineChars="200"/>
        <w:rPr>
          <w:rFonts w:ascii="Times New Roman" w:hAnsi="Times New Roman" w:cs="仿宋_GB2312"/>
          <w:sz w:val="32"/>
          <w:szCs w:val="32"/>
        </w:rPr>
      </w:pPr>
      <w:bookmarkStart w:id="70" w:name="第五十八条"/>
      <w:bookmarkEnd w:id="70"/>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被征用的民用资源使用完毕，县级以上地方人民政府应当及时组织返还；经过改造的，应当恢复原使用功能后返还；不能修复或者灭失的，以及因征用造成直接经济损失的，按照国家有关规定给予补偿。</w:t>
      </w:r>
    </w:p>
    <w:p>
      <w:pPr>
        <w:ind w:firstLine="640" w:firstLineChars="200"/>
        <w:rPr>
          <w:rFonts w:ascii="Times New Roman" w:hAnsi="Times New Roman" w:cs="仿宋_GB2312"/>
          <w:sz w:val="32"/>
          <w:szCs w:val="32"/>
        </w:rPr>
      </w:pPr>
      <w:bookmarkStart w:id="71" w:name="第五十九条"/>
      <w:bookmarkEnd w:id="71"/>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中国人民解放军现役部队和预备役部队、中国人民武装警察部队、民兵组织进行军事演习、训练，需要征用民用资源或者采取临时性管制措施的，按照国务院、中央军事委员会的有关规定执行。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十一章 宣传教育"/>
      <w:bookmarkEnd w:id="72"/>
      <w:r>
        <w:rPr>
          <w:rFonts w:ascii="Times New Roman" w:eastAsia="黑体" w:hAnsi="Times New Roman" w:cs="黑体" w:hint="eastAsia"/>
          <w:szCs w:val="32"/>
        </w:rPr>
        <w:t>第十一章　宣传教育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条"/>
      <w:bookmarkEnd w:id="73"/>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各级人民政府应当组织开展国防动员的宣传教育，增强公民的国防观念和依法履行国防义务的意识。有关军事机关应当协助做好国防动员的宣传教育工作。</w:t>
      </w:r>
    </w:p>
    <w:p>
      <w:pPr>
        <w:ind w:firstLine="640" w:firstLineChars="200"/>
        <w:rPr>
          <w:rFonts w:ascii="Times New Roman" w:hAnsi="Times New Roman" w:cs="仿宋_GB2312"/>
          <w:sz w:val="32"/>
          <w:szCs w:val="32"/>
        </w:rPr>
      </w:pPr>
      <w:bookmarkStart w:id="74" w:name="第六十一条"/>
      <w:bookmarkEnd w:id="74"/>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国家机关、社会团体、企业事业单位和基层群众性自治组织，应当组织所属人员学习和掌握必要的国防知识与技能。</w:t>
      </w:r>
    </w:p>
    <w:p>
      <w:pPr>
        <w:ind w:firstLine="640" w:firstLineChars="200"/>
        <w:rPr>
          <w:rFonts w:ascii="Times New Roman" w:hAnsi="Times New Roman" w:cs="仿宋_GB2312"/>
          <w:sz w:val="32"/>
          <w:szCs w:val="32"/>
        </w:rPr>
      </w:pPr>
      <w:bookmarkStart w:id="75" w:name="第六十二条"/>
      <w:bookmarkEnd w:id="75"/>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运用各种宣传媒体和宣传手段，对公民进行爱国主义、革命英雄主义宣传教育，激发公民的爱国热情，鼓励公民踊跃参战支前，采取多种形式开展拥军优属和慰问活动，按照国家有关规定做好抚恤优待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新闻出版、广播影视和网络传媒等单位，应当按照国防动员的要求做好宣传教育和相关工作。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十二章 特别措施"/>
      <w:bookmarkEnd w:id="76"/>
      <w:r>
        <w:rPr>
          <w:rFonts w:ascii="Times New Roman" w:eastAsia="黑体" w:hAnsi="Times New Roman" w:cs="黑体" w:hint="eastAsia"/>
          <w:szCs w:val="32"/>
        </w:rPr>
        <w:t>第十二章　特别措施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三条"/>
      <w:bookmarkEnd w:id="77"/>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国家决定实施国防动员后，根据需要，可以依法在实施国防动员的区域采取下列特别措施：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（一）对金融、交通运输、邮政、电信、新闻出版、广播影视、信息网络、能源水源供应、医药卫生、食品和粮食供应、商业贸易等行业实行管制；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（二）对人员活动的区域、时间、方式以及物资、运载工具进出的区域进行必要的限制；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（三）在国家机关、社会团体和企业事业单位实行特殊工作制度；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（四）为武装力量优先提供各种交通保障；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（五）需要采取的其他特别措施。</w:t>
      </w:r>
    </w:p>
    <w:p>
      <w:pPr>
        <w:ind w:firstLine="640" w:firstLineChars="200"/>
        <w:rPr>
          <w:rFonts w:ascii="Times New Roman" w:hAnsi="Times New Roman" w:cs="仿宋_GB2312"/>
          <w:sz w:val="32"/>
          <w:szCs w:val="32"/>
        </w:rPr>
      </w:pPr>
      <w:bookmarkStart w:id="78" w:name="第六十四条"/>
      <w:bookmarkEnd w:id="78"/>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在全国或者部分省、自治区、直辖市实行特别措施，由国务院、中央军事委员会决定并组织实施；在省、自治区、直辖市范围内的部分地区实行特别措施，由国务院、中央军事委员会决定，由特别措施实施区域所在省、自治区、直辖市人民政府和同级军事机关组织实施。</w:t>
      </w:r>
    </w:p>
    <w:p>
      <w:pPr>
        <w:ind w:firstLine="640" w:firstLineChars="200"/>
        <w:rPr>
          <w:rFonts w:ascii="Times New Roman" w:hAnsi="Times New Roman" w:cs="仿宋_GB2312"/>
          <w:sz w:val="32"/>
          <w:szCs w:val="32"/>
        </w:rPr>
      </w:pPr>
      <w:bookmarkStart w:id="79" w:name="第六十五条"/>
      <w:bookmarkEnd w:id="79"/>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组织实施特别措施的机关应当在规定的权限、区域和时限内实施特别措施。特别措施实施区域内的公民和组织，应当服从组织实施特别措施的机关的管理。</w:t>
      </w:r>
    </w:p>
    <w:p>
      <w:pPr>
        <w:ind w:firstLine="640" w:firstLineChars="200"/>
        <w:rPr>
          <w:rFonts w:ascii="Times New Roman" w:hAnsi="Times New Roman" w:cs="仿宋_GB2312"/>
          <w:sz w:val="32"/>
          <w:szCs w:val="32"/>
        </w:rPr>
      </w:pPr>
      <w:bookmarkStart w:id="80" w:name="第六十六条"/>
      <w:bookmarkEnd w:id="80"/>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采取特别措施不再必要时，应当及时终止。</w:t>
      </w:r>
    </w:p>
    <w:p>
      <w:pPr>
        <w:ind w:firstLine="640" w:firstLineChars="200"/>
        <w:rPr>
          <w:rFonts w:ascii="Times New Roman" w:hAnsi="Times New Roman" w:cs="仿宋_GB2312"/>
          <w:sz w:val="32"/>
          <w:szCs w:val="32"/>
        </w:rPr>
      </w:pPr>
      <w:bookmarkStart w:id="81" w:name="第六十七条"/>
      <w:bookmarkEnd w:id="81"/>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因国家发布动员令，诉讼、行政复议、仲裁活动不能正常进行的，适用有关时效中止和程序中止的规定，但法律另有规定的除外。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十三章 法律责任"/>
      <w:bookmarkEnd w:id="82"/>
      <w:r>
        <w:rPr>
          <w:rFonts w:ascii="Times New Roman" w:eastAsia="黑体" w:hAnsi="Times New Roman" w:cs="黑体" w:hint="eastAsia"/>
          <w:szCs w:val="32"/>
        </w:rPr>
        <w:t>第十三章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六十八条"/>
      <w:bookmarkEnd w:id="83"/>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公民有下列行为之一的，由县级人民政府责令限期改正；逾期不改的，强制其履行义务：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（一）预编到现役部队和编入预备役部队的预备役人员、预定征召的其他预备役人员离开预备役登记地一个月以上未向预备役登记的兵役机关报告的；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（二）国家决定实施国防动员后，预定征召的预备役人员未经预备役登记的兵役机关批准离开预备役登记地，或者未按照兵役机关要求及时返回，或者未到指定地点报到的；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（三）拒绝、逃避征召或者拒绝、逃避担负国防勤务的；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（四）拒绝、拖延民用资源征用或者阻碍对被征用的民用资源进行改造的；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（五）干扰、破坏国防动员工作秩序或者阻碍从事国防动员工作的人员依法履行职责的。</w:t>
      </w:r>
    </w:p>
    <w:p>
      <w:pPr>
        <w:ind w:firstLine="640" w:firstLineChars="200"/>
        <w:rPr>
          <w:rFonts w:ascii="Times New Roman" w:hAnsi="Times New Roman" w:cs="仿宋_GB2312"/>
          <w:sz w:val="32"/>
          <w:szCs w:val="32"/>
        </w:rPr>
      </w:pPr>
      <w:bookmarkStart w:id="84" w:name="第六十九条"/>
      <w:bookmarkEnd w:id="84"/>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企业事业单位有下列行为之一的，由有关人民政府责令限期改正；逾期不改的，强制其履行义务，并可以处以罚款：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（一）在承建的贯彻国防要求的建设项目中未按照国防要求和技术规范、标准进行设计或者施工、生产的；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（二）因管理不善导致战略储备物资丢失、损坏或者不服从战略物资调用的；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（三）未按照转产、扩大生产军品和维修保障任务的要求进行军品科研、生产和维修保障能力储备，或者未按照规定组建专业技术队伍的；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（四）拒绝、拖延执行专业保障任务的；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（五）拒绝或者故意延误军事订货的；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（六）拒绝、拖延民用资源征用或者阻碍对被征用的民用资源进行改造的；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（七）阻挠公民履行征召、担负国防勤务义务的。</w:t>
      </w:r>
    </w:p>
    <w:p>
      <w:pPr>
        <w:ind w:firstLine="640" w:firstLineChars="200"/>
        <w:rPr>
          <w:rFonts w:ascii="Times New Roman" w:hAnsi="Times New Roman" w:cs="仿宋_GB2312"/>
          <w:sz w:val="32"/>
          <w:szCs w:val="32"/>
        </w:rPr>
      </w:pPr>
      <w:bookmarkStart w:id="85" w:name="第七十条"/>
      <w:bookmarkEnd w:id="85"/>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（一）拒不执行上级下达的国防动员命令的；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（二）滥用职权或者玩忽职守，给国防动员工作造成严重损失的；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（三）对征用的民用资源，拒不登记、出具凭证，或者违反规定使用造成严重损坏，以及不按照规定予以返还或者补偿的；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（四）泄露国防动员秘密的；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（五）贪污、挪用国防动员经费、物资的；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（六）滥用职权，侵犯和损害公民或者组织合法权益的。</w:t>
      </w:r>
    </w:p>
    <w:p>
      <w:pPr>
        <w:ind w:firstLine="640" w:firstLineChars="200"/>
        <w:rPr>
          <w:rFonts w:ascii="Times New Roman" w:hAnsi="Times New Roman" w:cs="仿宋_GB2312"/>
          <w:sz w:val="32"/>
          <w:szCs w:val="32"/>
        </w:rPr>
      </w:pPr>
      <w:bookmarkStart w:id="86" w:name="第七十一条"/>
      <w:bookmarkEnd w:id="86"/>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十四章 附则"/>
      <w:bookmarkEnd w:id="87"/>
      <w:r>
        <w:rPr>
          <w:rFonts w:ascii="Times New Roman" w:eastAsia="黑体" w:hAnsi="Times New Roman" w:cs="黑体" w:hint="eastAsia"/>
          <w:szCs w:val="32"/>
        </w:rPr>
        <w:t>第十四章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二条"/>
      <w:bookmarkEnd w:id="88"/>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本法自2010年7月1日起施行。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