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妇女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中华人民共和国妇女权益保障法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（1992年4月3日第七届全国人民代表大会第五次会议通过　根据2005年8月28日第十届全国人民代表大会常务委员会第十七次会议《关于修改〈中华人民共和国妇女权益保障法〉的决定》第一次修正　根据2018年10月26日第十三届全国人民代表大会常务委员会第六次会议《关于修改〈中华人民共和国野生动物保护法〉等十五部法律的决定》第二次修正　2022年10月30日第十三届全国人民代表大会常务委员会第三十七次会议修订）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人身和人格权益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救济措施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为了保障妇女的合法权益，促进男女平等和妇女全面发展，充分发挥妇女在全面建设社会主义现代化国家中的作用，弘扬社会主义核心价值观，根据宪法，制定本法。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男女平等是国家的基本国策。妇女在政治的、经济的、文化的、社会的和家庭的生活等各方面享有同男子平等的权利。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国家采取必要措施，促进男女平等，消除对妇女一切形式的歧视，禁止排斥、限制妇女依法享有和行使各项权益。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国家保护妇女依法享有的特殊权益。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坚持中国共产党对妇女权益保障工作的领导，建立政府主导、各方协同、社会参与的保障妇女权益工作机制。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各级人民政府应当重视和加强妇女权益的保障工作。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县级以上人民政府负责妇女儿童工作的机构，负责组织、协调、指导、督促有关部门做好妇女权益的保障工作。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县级以上人民政府有关部门在各自的职责范围内做好妇女权益的保障工作。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保障妇女的合法权益是全社会的共同责任。国家机关、社会团体、企业事业单位、基层群众性自治组织以及其他组织和个人，应当依法保障妇女的权益。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国家采取有效措施，为妇女依法行使权利提供必要的条件。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国务院制定和组织实施中国妇女发展纲要，将其纳入国民经济和社会发展规划，保障和促进妇女在各领域的全面发展。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县级以上地方各级人民政府根据中国妇女发展纲要，制定和组织实施本行政区域的妇女发展规划，将其纳入国民经济和社会发展规划。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县级以上人民政府应当将妇女权益保障所需经费列入本级预算。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中华全国妇女联合会和地方各级妇女联合会依照法律和中华全国妇女联合会章程，代表和维护各族各界妇女的利益，做好维护妇女权益、促进男女平等和妇女全面发展的工作。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工会、共产主义青年团、残疾人联合会等群团组织应当在各自的工作范围内，做好维护妇女权益的工作。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国家鼓励妇女自尊、自信、自立、自强，运用法律维护自身合法权益。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妇女应当遵守国家法律，尊重社会公德、职业道德和家庭美德，履行法律所规定的义务。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有关机关制定或者修改涉及妇女权益的法律、法规、规章和其他规范性文件，应当听取妇女联合会的意见，充分考虑妇女的特殊权益，必要时开展男女平等评估。</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国家建立健全妇女发展状况统计调查制度，完善性别统计监测指标体系，定期开展妇女发展状况和权益保障统计调查和分析，发布有关信息。</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国家将男女平等基本国策纳入国民教育体系，开展宣传教育，增强全社会的男女平等意识，培育尊重和关爱妇女的社会风尚。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国家对保障妇女合法权益成绩显著的组织和个人，按照有关规定给予表彰和奖励。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政治权利"/>
      <w:bookmarkEnd w:id="15"/>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国家保障妇女享有与男子平等的政治权利。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妇女有权通过各种途径和形式，依法参与管理国家事务、管理经济和文化事业、管理社会事务。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妇女和妇女组织有权向各级国家机关提出妇女权益保障方面的意见和建议。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妇女享有与男子平等的选举权和被选举权。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全国人民代表大会和地方各级人民代表大会的代表中，应当保证有适当数量的妇女代表。国家采取措施，逐步提高全国人民代表大会和地方各级人民代表大会的妇女代表的比例。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居民委员会、村民委员会成员中，应当保证有适当数量的妇女成员。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国家积极培养和选拔女干部，重视培养和选拔少数民族女干部。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国家机关、群团组织、企业事业单位培养、选拔和任用干部，应当坚持男女平等的原则，并有适当数量的妇女担任领导成员。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妇女联合会及其团体会员，可以向国家机关、群团组织、企业事业单位推荐女干部。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国家采取措施支持女性人才成长。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妇女联合会代表妇女积极参与国家和社会事务的民主协商、民主决策、民主管理和民主监督。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对于有关妇女权益保障工作的批评或者合理可行的建议，有关部门应当听取和采纳；对于有关侵害妇女权益的申诉、控告和检举，有关部门应当查清事实，负责处理，任何组织和个人不得压制或者打击报复。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人身和人格权益"/>
      <w:bookmarkEnd w:id="22"/>
      <w:r>
        <w:rPr>
          <w:rFonts w:ascii="Times New Roman" w:eastAsia="黑体" w:hAnsi="Times New Roman" w:cs="黑体" w:hint="eastAsia"/>
          <w:szCs w:val="32"/>
        </w:rPr>
        <w:t>第三章　人身和人格权益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国家保障妇女享有与男子平等的人身和人格权益。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妇女的人身自由不受侵犯。禁止非法拘禁和以其他非法手段剥夺或者限制妇女的人身自由；禁止非法搜查妇女的身体。</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妇女的人格尊严不受侵犯。禁止用侮辱、诽谤等方式损害妇女的人格尊严。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妇女的生命权、身体权、健康权不受侵犯。禁止虐待、遗弃、残害、买卖以及其他侵害女性生命健康权益的行为。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禁止进行非医学需要的胎儿性别鉴定和选择性别的人工终止妊娠。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医疗机构施行生育手术、特殊检查或者特殊治疗时，应当征得妇女本人同意；在妇女与其家属或者关系人意见不一致时，应当尊重妇女本人意愿。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禁止拐卖、绑架妇女；禁止收买被拐卖、绑架的妇女；禁止阻碍解救被拐卖、绑架的妇女。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公安、民政、人力资源和社会保障、卫生健康等部门及村民委员会、居民委员会按照各自的职责及时发现报告，并采取措施解救被拐卖、绑架的妇女，做好被解救妇女的安置、救助和关爱等工作。妇女联合会协助和配合做好有关工作。任何组织和个人不得歧视被拐卖、绑架的妇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禁止违背妇女意愿，以言语、文字、图像、肢体行为等方式对其实施性骚扰。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受害妇女可以向有关单位和国家机关投诉。接到投诉的有关单位和国家机关应当及时处理，并书面告知处理结果。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受害妇女可以向公安机关报案，也可以向人民法院提起民事诉讼，依法请求行为人承担民事责任。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学校应当根据女学生的年龄阶段，进行生理卫生、心理健康和自我保护教育，在教育、管理、设施等方面采取措施，提高其防范性侵害、性骚扰的自我保护意识和能力，保障女学生的人身安全和身心健康发展。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有效预防和科学处置性侵害、性骚扰的工作制度。对性侵害、性骚扰女学生的违法犯罪行为，学校不得隐瞒，应当及时通知受害未成年女学生的父母或者其他监护人，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对遭受性侵害、性骚扰的女学生，学校、公安机关、教育行政部门等相关单位和人员应当保护其隐私和个人信息，并提供必要的保护措施。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用人单位应当采取下列措施预防和制止对妇女的性骚扰：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（一）制定禁止性骚扰的规章制度；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（二）明确负责机构或者人员；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（三）开展预防和制止性骚扰的教育培训活动；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（四）采取必要的安全保卫措施；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（五）设置投诉电话、信箱等，畅通投诉渠道；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（六）建立和完善调查处置程序，及时处置纠纷并保护当事人隐私和个人信息；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（七）支持、协助受害妇女依法维权，必要时为受害妇女提供心理疏导；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（八）其他合理的预防和制止性骚扰措施。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住宿经营者应当及时准确登记住宿人员信息，健全住宿服务规章制度，加强安全保障措施；发现可能侵害妇女权益的违法犯罪行为，应当及时向公安机关报告。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禁止卖淫、嫖娼；禁止组织、强迫、引诱、容留、介绍妇女卖淫或者对妇女进行猥亵活动；禁止组织、强迫、引诱、容留、介绍妇女在任何场所或者利用网络进行淫秽表演活动。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妇女的姓名权、肖像权、名誉权、荣誉权、隐私权和个人信息等人格权益受法律保护。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媒体报道涉及妇女事件应当客观、适度，不得通过夸大事实、过度渲染等方式侵害妇女的人格权益。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禁止通过大众传播媒介或者其他方式贬低损害妇女人格。未经本人同意，不得通过广告、商标、展览橱窗、报纸、期刊、图书、音像制品、电子出版物、网络等形式使用妇女肖像，但法律另有规定的除外。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禁止以恋爱、交友为由或者在终止恋爱关系、离婚之后，纠缠、骚扰妇女，泄露、传播妇女隐私和个人信息。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妇女遭受上述侵害或者面临上述侵害现实危险的，可以向人民法院申请人身安全保护令。</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国家建立健全妇女健康服务体系，保障妇女享有基本医疗卫生服务，开展妇女常见病、多发病的预防、筛查和诊疗，提高妇女健康水平。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国家采取必要措施，开展经期、孕期、产期、哺乳期和更年期的健康知识普及、卫生保健和疾病防治，保障妇女特殊生理时期的健康需求，为有需要的妇女提供心理健康服务支持。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县级以上地方人民政府应当设立妇幼保健机构，为妇女提供保健以及常见病防治服务。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国家鼓励和支持社会力量通过依法捐赠、资助或者提供志愿服务等方式，参与妇女卫生健康事业，提供安全的生理健康用品或者服务，满足妇女多样化、差异化的健康需求。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用人单位应当定期为女职工安排妇科疾病、乳腺疾病检查以及妇女特殊需要的其他健康检查。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妇女依法享有生育子女的权利，也有不生育子女的自由。</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国家实行婚前、孕前、孕产期和产后保健制度，逐步建立妇女全生育周期系统保健制度。医疗保健机构应当提供安全、有效的医疗保健服务，保障妇女生育安全和健康。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有关部门应当提供安全、有效的避孕药具和技术，保障妇女的健康和安全。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各级人民政府在规划、建设基础设施时，应当考虑妇女的特殊需求，配备满足妇女需要的公共厕所和母婴室等公共设施。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文化教育权益"/>
      <w:bookmarkEnd w:id="40"/>
      <w:r>
        <w:rPr>
          <w:rFonts w:ascii="Times New Roman" w:eastAsia="黑体" w:hAnsi="Times New Roman" w:cs="黑体" w:hint="eastAsia"/>
          <w:szCs w:val="32"/>
        </w:rPr>
        <w:t>第四章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国家保障妇女享有与男子平等的文化教育权利。</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父母或者其他监护人应当履行保障适龄女性未成年人接受并完成义务教育的义务。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对无正当理由不送适龄女性未成年人入学的父母或者其他监护人，由当地乡镇人民政府或者县级人民政府教育行政部门给予批评教育，依法责令其限期改正。居民委员会、村民委员会应当协助政府做好相关工作。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政府、学校应当采取有效措施，解决适龄女性未成年人就学存在的实际困难，并创造条件，保证适龄女性未成年人完成义务教育。</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学校和有关部门应当执行国家有关规定，保障妇女在入学、升学、授予学位、派出留学、就业指导和服务等方面享有与男子平等的权利。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学校在录取学生时，除国家规定的特殊专业外，不得以性别为由拒绝录取女性或者提高对女性的录取标准。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各级人民政府应当采取措施，保障女性平等享有接受中高等教育的权利和机会。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各级人民政府应当依照规定把扫除妇女中的文盲、半文盲工作，纳入扫盲和扫盲后继续教育规划，采取符合妇女特点的组织形式和工作方法，组织、监督有关部门具体实施。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国家健全全民终身学习体系，为妇女终身学习创造条件。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各级人民政府和有关部门应当采取措施，根据城镇和农村妇女的需要，组织妇女接受职业教育和实用技术培训。</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国家机关、社会团体和企业事业单位应当执行国家有关规定，保障妇女从事科学、技术、文学、艺术和其他文化活动，享有与男子平等的权利。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劳动和社会保障权益"/>
      <w:bookmarkEnd w:id="47"/>
      <w:r>
        <w:rPr>
          <w:rFonts w:ascii="Times New Roman" w:eastAsia="黑体" w:hAnsi="Times New Roman" w:cs="黑体" w:hint="eastAsia"/>
          <w:szCs w:val="32"/>
        </w:rPr>
        <w:t>第五章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国家保障妇女享有与男子平等的劳动权利和社会保障权利。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各级人民政府和有关部门应当完善就业保障政策措施，防止和纠正就业性别歧视，为妇女创造公平的就业创业环境，为就业困难的妇女提供必要的扶持和援助。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用人单位在招录（聘）过程中，除国家另有规定外，不得实施下列行为：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（一）限定为男性或者规定男性优先；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（二）除个人基本信息外，进一步询问或者调查女性求职者的婚育情况；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（三）将妊娠测试作为入职体检项目；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（四）将限制结婚、生育或者婚姻、生育状况作为录（聘）用条件；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（五）其他以性别为由拒绝录（聘）用妇女或者差别化地提高对妇女录（聘）用标准的行为。</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用人单位在录（聘）用女职工时，应当依法与其签订劳动（聘用）合同或者服务协议，劳动（聘用）合同或者服务协议中应当具备女职工特殊保护条款，并不得规定限制女职工结婚、生育等内容。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职工一方与用人单位订立的集体合同中应当包含男女平等和女职工权益保护相关内容，也可以就相关内容制定专章、附件或者单独订立女职工权益保护专项集体合同。</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实行男女同工同酬。妇女在享受福利待遇方面享有与男子平等的权利。</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在晋职、晋级、评聘专业技术职称和职务、培训等方面，应当坚持男女平等的原则，不得歧视妇女。</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用人单位应当根据妇女的特点，依法保护妇女在工作和劳动时的安全、健康以及休息的权利。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妇女在经期、孕期、产期、哺乳期受特殊保护。</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用人单位不得因结婚、怀孕、产假、哺乳等情形，降低女职工的工资和福利待遇，限制女职工晋职、晋级、评聘专业技术职称和职务，辞退女职工，单方解除劳动（聘用）合同或者服务协议。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在怀孕以及依法享受产假期间，劳动（聘用）合同或者服务协议期满的，劳动（聘用）合同或者服务协议期限自动延续至产假结束。但是，用人单位依法解除、终止劳动（聘用）合同、服务协议，或者女职工依法要求解除、终止劳动（聘用）合同、服务协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用人单位在执行国家退休制度时，不得以性别为由歧视妇女。</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人力资源和社会保障部门应当将招聘、录取、晋职、晋级、评聘专业技术职称和职务、培训、辞退等过程中的性别歧视行为纳入劳动保障监察范围。</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国家发展社会保障事业，保障妇女享有社会保险、社会救助和社会福利等权益。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国家提倡和鼓励为帮助妇女而开展的社会公益活动。</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国家实行生育保险制度，建立健全婴幼儿托育服务等与生育相关的其他保障制度。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国家建立健全职工生育休假制度，保障孕产期女职工依法享有休息休假权益。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地方各级人民政府和有关部门应当按照国家有关规定，为符合条件的困难妇女提供必要的生育救助。</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各级人民政府和有关部门应当采取必要措施，加强贫困妇女、老龄妇女、残疾妇女等困难妇女的权益保障，按照有关规定为其提供生活帮扶、就业创业支持等关爱服务。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财产权益"/>
      <w:bookmarkEnd w:id="60"/>
      <w:r>
        <w:rPr>
          <w:rFonts w:ascii="Times New Roman" w:eastAsia="黑体" w:hAnsi="Times New Roman" w:cs="黑体" w:hint="eastAsia"/>
          <w:szCs w:val="32"/>
        </w:rPr>
        <w:t>第六章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国家保障妇女享有与男子平等的财产权利。</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在夫妻共同财产、家庭共有财产关系中，不得侵害妇女依法享有的权益。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妇女在农村集体经济组织成员身份确认、土地承包经营、集体经济组织收益分配、土地征收补偿安置或者征用补偿以及宅基地使用等方面，享有与男子平等的权利。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村民自治章程、村规民约，村民会议、村民代表会议的决定以及其他涉及村民利益事项的决定，不得以妇女未婚、结婚、离婚、丧偶、户无男性等为由，侵害妇女在农村集体经济组织中的各项权益。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因结婚男方到女方住所落户的，男方和子女享有与所在地农村集体经济组织成员平等的权益。</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国家保护妇女在城镇集体所有财产关系中的权益。妇女依照法律、法规的规定享有相关权益。</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妇女享有与男子平等的继承权。妇女依法行使继承权，不受歧视。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丧偶妇女有权依法处分继承的财产，任何组织和个人不得干涉。</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丧偶儿媳对公婆尽了主要赡养义务的，作为第一顺序继承人，其继承权不受子女代位继承的影响。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婚姻家庭权益"/>
      <w:bookmarkEnd w:id="68"/>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国家保障妇女享有与男子平等的婚姻家庭权利。</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国家保护妇女的婚姻自主权。禁止干涉妇女的结婚、离婚自由。</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国家鼓励男女双方在结婚登记前，共同进行医学检查或者相关健康体检。</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婚姻登记机关应当提供婚姻家庭辅导服务，引导当事人建立平等、和睦、文明的婚姻家庭关系。</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女方在怀孕期间、分娩后一年内或者终止妊娠后六个月内，男方不得提出离婚；但是，女方提出离婚或者人民法院认为确有必要受理男方离婚请求的除外。</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县级以上人民政府有关部门、司法机关、社会团体、企业事业单位、基层群众性自治组织以及其他组织，应当在各自的职责范围内预防和制止家庭暴力，依法为受害妇女提供救助。</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妇女对夫妻共同财产享有与其配偶平等的占有、使用、收益和处分的权利，不受双方收入状况等情形的影响。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离婚诉讼期间，夫妻一方申请查询登记在对方名下财产状况且确因客观原因不能自行收集的，人民法院应当进行调查取证，有关部门和单位应当予以协助。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夫妻双方应当共同负担家庭义务，共同照顾家庭生活。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女方因抚育子女、照料老人、协助男方工作等负担较多义务的，有权在离婚时要求男方予以补偿。补偿办法由双方协议确定；协议不成的，可以向人民法院提起诉讼。</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离婚时，分割夫妻共有的房屋或者处理夫妻共同租住的房屋，由双方协议解决；协议不成的，可以向人民法院提起诉讼。</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父母双方对未成年子女享有平等的监护权。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父亲死亡、无监护能力或者有其他情形不能担任未成年子女的监护人的，母亲的监护权任何组织和个人不得干涉。</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女方丧失生育能力的，在离婚处理子女抚养问题时，应当在最有利于未成年子女的条件下，优先考虑女方的抚养要求。</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救济措施"/>
      <w:bookmarkEnd w:id="81"/>
      <w:r>
        <w:rPr>
          <w:rFonts w:ascii="Times New Roman" w:eastAsia="黑体" w:hAnsi="Times New Roman" w:cs="黑体" w:hint="eastAsia"/>
          <w:szCs w:val="32"/>
        </w:rPr>
        <w:t>第八章　救济措施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对侵害妇女合法权益的行为，任何组织和个人都有权予以劝阻、制止或者向有关部门提出控告或者检举。有关部门接到控告或者检举后，应当依法及时处理，并为控告人、检举人保密。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妇女的合法权益受到侵害的，有权要求有关部门依法处理，或者依法申请调解、仲裁，或者向人民法院起诉。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对符合条件的妇女，当地法律援助机构或者司法机关应当给予帮助，依法为其提供法律援助或者司法救助。</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县级以上人民政府负责妇女儿童工作的机构、妇女联合会可以向其提出督促处理意见，必要时可以提请同级人民政府开展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受害妇女进行诉讼需要帮助的，妇女联合会应当给予支持和帮助。</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用人单位侵害妇女劳动和社会保障权益的，人力资源和社会保障部门可以联合工会、妇女联合会约谈用人单位，依法进行监督并要求其限期纠正。</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妇女在农村集体经济组织成员身份确认等方面权益受到侵害的，可以申请乡镇人民政府等进行协调，或者向人民法院起诉。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对村民自治章程、村规民约，村民会议、村民代表会议的决定以及其他涉及村民利益事项的决定进行指导，对其中违反法律、法规和国家政策规定，侵害妇女合法权益的内容责令改正；受侵害妇女向农村土地承包仲裁机构申请仲裁或者向人民法院起诉的，农村土地承包仲裁机构或者人民法院应当依法受理。</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县级以上人民政府应当开通全国统一的妇女权益保护服务热线，及时受理、移送有关侵害妇女合法权益的投诉、举报；有关部门或者单位接到投诉、举报后，应当及时予以处置。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鼓励和支持群团组织、企业事业单位、社会组织和个人参与建设妇女权益保护服务热线，提供妇女权益保护方面的咨询、帮助。</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侵害妇女合法权益，导致社会公共利益受损的，检察机关可以发出检察建议；有下列情形之一的，检察机关可以依法提起公益诉讼：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（一）确认农村妇女集体经济组织成员身份时侵害妇女权益或者侵害妇女享有的农村土地承包和集体收益、土地征收征用补偿分配权益和宅基地使用权益；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（二）侵害妇女平等就业权益；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（三）相关单位未采取合理措施预防和制止性骚扰；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（四）通过大众传播媒介或者其他方式贬低损害妇女人格；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（五）其他严重侵害妇女权益的情形。</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国家机关、社会团体、企业事业单位对侵害妇女权益的行为，可以支持受侵害的妇女向人民法院起诉。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九章 法律责任"/>
      <w:bookmarkEnd w:id="8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违反本法第二十二条第二款规定，未履行报告义务的，依法对直接负责的主管人员和其他直接责任人员给予处分。</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违反本法规定，对妇女实施性骚扰的，由公安机关给予批评教育或者出具告诫书，并由所在单位依法给予处分。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用人单位违反本法规定，未采取必要措施预防和制止性骚扰，造成妇女权益受到侵害或者社会影响恶劣的，由上级机关或者主管部门责令改正；拒不改正或者情节严重的，依法对直接负责的主管人员和其他直接责任人员给予处分。</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违反本法第二十六条规定，未履行报告等义务的，依法给予警告、责令停业整顿或者吊销营业执照、吊销相关许可证，并处一万元以上五万元以下罚款。</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违反本法规定，通过大众传播媒介或者其他方式贬低损害妇女人格的，由公安、网信、文化旅游、广播电视、新闻出版或者其他有关部门依据各自的职权责令改正，并依法给予行政处罚。</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用人单位违反本法第四十三条和第四十八条规定的，由人力资源和社会保障部门责令改正；拒不改正或者情节严重的，处一万元以上五万元以下罚款。</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违反本法规定，对侵害妇女权益的申诉、控告、检举，推诿、拖延、压制不予查处，或者对提出申诉、控告、检举的人进行打击报复的，依法责令改正，并对直接负责的主管人员和其他直接责任人员给予处分。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国家机关及其工作人员未依法履行职责，对侵害妇女权益的行为未及时制止或者未给予受害妇女必要帮助，造成严重后果的，依法对直接负责的主管人员和其他直接责任人员给予处分。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违反本法规定，侵害妇女人身和人格权益、文化教育权益、劳动和社会保障权益、财产权益以及婚姻家庭权益的，依法责令改正，直接负责的主管人员和其他直接责任人员属于国家工作人员的，依法给予处分。</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违反本法规定，侵害妇女的合法权益，其他法律、法规规定行政处罚的，从其规定；造成财产损失或者人身损害的，依法承担民事责任；构成犯罪的，依法追究刑事责任。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十章 附则"/>
      <w:bookmarkEnd w:id="97"/>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