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无障碍环境建设法"/>
      <w:bookmarkEnd w:id="0"/>
      <w:r>
        <w:rPr>
          <w:rFonts w:ascii="方正小标宋简体" w:eastAsia="方正小标宋简体" w:hAnsi="方正小标宋简体" w:cs="方正小标宋简体" w:hint="eastAsia"/>
          <w:color w:val="333333"/>
          <w:sz w:val="44"/>
          <w:szCs w:val="44"/>
          <w:shd w:val="clear" w:color="auto" w:fill="FFFFFF"/>
        </w:rPr>
        <w:t>中华人民共和国无障碍环境建设法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（2023年6月28日第十四届全国人民代表大会常务委员会第三次会议通过）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无障碍设施建设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无障碍信息交流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无障碍社会服务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为了加强无障碍环境建设，保障残疾人、老年人平等、充分、便捷地参与和融入社会生活，促进社会全体人员共享经济社会发展成果，弘扬社会主义核心价值观，根据宪法和有关法律，制定本法。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国家采取措施推进无障碍环境建设，为残疾人、老年人自主安全地通行道路、出入建筑物以及使用其附属设施、搭乘公共交通运输工具，获取、使用和交流信息，获得社会服务等提供便利。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残疾人、老年人之外的其他人有无障碍需求的，可以享受无障碍环境便利。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无障碍环境建设应当坚持中国共产党的领导，发挥政府主导作用，调动市场主体积极性，引导社会组织和公众广泛参与，推动全社会共建共治共享。</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无障碍环境建设应当与适老化改造相结合，遵循安全便利、实用易行、广泛受益的原则。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无障碍环境建设应当与经济社会发展水平相适应，统筹城镇和农村发展，逐步缩小城乡无障碍环境建设的差距。</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县级以上人民政府应当将无障碍环境建设纳入国民经济和社会发展规划，将所需经费纳入本级预算，建立稳定的经费保障机制。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县级以上人民政府应当统筹协调和督促指导有关部门在各自职责范围内做好无障碍环境建设工作。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县级以上人民政府住房和城乡建设、民政、工业和信息化、交通运输、自然资源、文化和旅游、教育、卫生健康等部门应当在各自职责范围内，开展无障碍环境建设工作。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乡镇人民政府、街道办事处应当协助有关部门做好无障碍环境建设工作。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残疾人联合会、老龄协会等组织依照法律、法规以及各自章程，协助各级人民政府及其有关部门做好无障碍环境建设工作。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制定或者修改涉及无障碍环境建设的法律、法规、规章、规划和其他规范性文件，应当征求残疾人、老年人代表以及残疾人联合会、老龄协会等组织的意见。</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国家鼓励和支持企业事业单位、社会组织、个人等社会力量，通过捐赠、志愿服务等方式参与无障碍环境建设。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国家支持开展无障碍环境建设工作的国际交流与合作。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对在无障碍环境建设工作中做出显著成绩的单位和个人，按照国家有关规定给予表彰和奖励。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无障碍设施建设"/>
      <w:bookmarkEnd w:id="15"/>
      <w:r>
        <w:rPr>
          <w:rFonts w:ascii="Times New Roman" w:eastAsia="黑体" w:hAnsi="Times New Roman" w:cs="黑体" w:hint="eastAsia"/>
          <w:szCs w:val="32"/>
        </w:rPr>
        <w:t>第二章　无障碍设施建设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新建、改建、扩建的居住建筑、居住区、公共建筑、公共场所、交通运输设施、城乡道路等，应当符合无障碍设施工程建设标准。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无障碍设施应当与主体工程同步规划、同步设计、同步施工、同步验收、同步交付使用，并与周边的无障碍设施有效衔接、实现贯通。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无障碍设施应当设置符合标准的无障碍标识，并纳入周边环境或者建筑物内部的引导标识系统。</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国家鼓励工程建设、设计、施工等单位采用先进的理念和技术，建设人性化、系统化、智能化并与周边环境相协调的无障碍设施。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工程建设单位应当将无障碍设施建设经费纳入工程建设项目概预算。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工程建设单位不得明示或者暗示设计、施工单位违反无障碍设施工程建设标准；不得擅自将未经验收或者验收不合格的无障碍设施交付使用。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工程设计单位应当按照无障碍设施工程建设标准进行设计。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依法需要进行施工图设计文件审查的，施工图审查机构应当按照法律、法规和无障碍设施工程建设标准，对无障碍设施设计内容进行审查；不符合有关规定的，不予审查通过。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工程施工、监理单位应当按照施工图设计文件以及相关标准进行无障碍设施施工和监理。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住房和城乡建设等主管部门对未按照法律、法规和无障碍设施工程建设标准开展无障碍设施验收或者验收不合格的，不予办理竣工验收备案手续。</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国家鼓励工程建设单位在新建、改建、扩建建设项目的规划、设计和竣工验收等环节，邀请残疾人、老年人代表以及残疾人联合会、老龄协会等组织，参加意见征询和体验试用等活动。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对既有的不符合无障碍设施工程建设标准的居住建筑、居住区、公共建筑、公共场所、交通运输设施、城乡道路等，县级以上人民政府应当根据实际情况，制定有针对性的无障碍设施改造计划并组织实施。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无障碍设施改造由所有权人或者管理人负责。所有权人、管理人和使用人之间约定改造责任的，由约定的责任人负责。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不具备无障碍设施改造条件的，责任人应当采取必要的替代性措施。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县级以上人民政府应当支持、指导家庭无障碍设施改造。对符合条件的残疾人、老年人家庭应当给予适当补贴。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居民委员会、村民委员会、居住区管理服务单位以及业主委员会应当支持并配合家庭无障碍设施改造。</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残疾人集中就业单位应当按照有关标准和要求，建设和改造无障碍设施。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国家鼓励和支持用人单位开展就业场所无障碍设施建设和改造，为残疾人职工提供必要的劳动条件和便利。</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共建筑、公共场所、交通运输设施以及居住区的公共服务设施，应当按照无障碍设施工程建设标准，配套建设无障碍设施；既有的上述建筑、场所和设施不符合无障碍设施工程建设标准的，应当进行必要的改造。</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国家支持城镇老旧小区既有多层住宅加装电梯或者其他无障碍设施，为残疾人、老年人提供便利。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县级以上人民政府及其有关部门应当采取措施、创造条件，并发挥社区基层组织作用，推动既有多层住宅加装电梯或者其他无障碍设施。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房屋所有权人应当弘扬中华民族与邻为善、守望相助等传统美德，加强沟通协商，依法配合既有多层住宅加装电梯或者其他无障碍设施。</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新建、改建、扩建和具备改造条件的城市主干路、主要商业区和大型居住区的人行天桥和人行地下通道，应当按照无障碍设施工程建设标准，建设或者改造无障碍设施。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干路、主要商业区等无障碍需求比较集中的区域的人行道，应当按照标准设置盲道；城市中心区、残疾人集中就业单位和集中就读学校周边的人行横道的交通信号设施，应当按照标准安装过街音响提示装置。</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停车场应当按照无障碍设施工程建设标准，设置无障碍停车位，并设置显著标志标识。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无障碍停车位优先供肢体残疾人驾驶或者乘坐的机动车使用。优先使用无障碍停车位的，应当在显著位置放置残疾人车辆专用标志或者提供残疾人证。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在无障碍停车位充足的情况下，其他行动不便的残疾人、老年人、孕妇、婴幼儿等驾驶或者乘坐的机动车也可以使用。</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新投入运营的民用航空器、客运列车、客运船舶、公共汽电车、城市轨道交通车辆等公共交通运输工具，应当确保一定比例符合无障碍标准。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既有公共交通运输工具具备改造条件的，应当进行无障碍改造，逐步符合无障碍标准的要求；不具备改造条件的，公共交通运输工具的运营单位应当采取必要的替代性措施。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县级以上地方人民政府根据当地情况，逐步建立城市无障碍公交导乘系统，规划配置适量的无障碍出租汽车。</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无障碍设施所有权人或者管理人应当对无障碍设施履行以下维护和管理责任，保障无障碍设施功能正常和使用安全：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（一）对损坏的无障碍设施和标识进行维修或者替换；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（二）对需改造的无障碍设施进行改造；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（三）纠正占用无障碍设施的行为；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（四）进行其他必要的维护和保养。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所有权人、管理人和使用人之间有约定的，由约定的责任人负责维护和管理。</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因特殊情况设置的临时无障碍设施，应当符合无障碍设施工程建设标准。</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任何单位和个人不得擅自改变无障碍设施的用途或者非法占用、损坏无障碍设施。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因特殊情况临时占用无障碍设施的，应当公告并设置护栏、警示标志或者信号设施，同时采取必要的替代性措施。临时占用期满，应当及时恢复原状。</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无障碍信息交流"/>
      <w:bookmarkEnd w:id="33"/>
      <w:r>
        <w:rPr>
          <w:rFonts w:ascii="Times New Roman" w:eastAsia="黑体" w:hAnsi="Times New Roman" w:cs="黑体" w:hint="eastAsia"/>
          <w:szCs w:val="32"/>
        </w:rPr>
        <w:t>第三章　无障碍信息交流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为残疾人、老年人获取公共信息提供便利；发布涉及自然灾害、事故灾难、公共卫生事件、社会安全事件等突发事件信息时，条件具备的同步采取语音、大字、盲文、手语等无障碍信息交流方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利用财政资金设立的电视台应当在播出电视节目时配备同步字幕，条件具备的每天至少播放一次配播手语的新闻节目，并逐步扩大配播手语的节目范围。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国家鼓励公开出版发行的影视类录像制品、网络视频节目加配字幕、手语或者口述音轨。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国家鼓励公开出版发行的图书、报刊配备有声、大字、盲文、电子等无障碍格式版本，方便残疾人、老年人阅读。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国家鼓励教材编写、出版单位根据不同教育阶段实际，编写、出版盲文版、低视力版教学用书，满足盲人和其他有视力障碍的学生的学习需求。</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利用财政资金建立的互联网网站、服务平台、移动互联网应用程序，应当逐步符合无障碍网站设计标准和国家信息无障碍标准。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国家鼓励新闻资讯、社交通讯、生活购物、医疗健康、金融服务、学习教育、交通出行等领域的互联网网站、移动互联网应用程序，逐步符合无障碍网站设计标准和国家信息无障碍标准。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国家鼓励地图导航定位产品逐步完善无障碍设施的标识和无障碍出行路线导航功能。</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音视频以及多媒体设备、移动智能终端设备、电信终端设备制造者提供的产品，应当逐步具备语音、大字等无障碍功能。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银行、医院、城市轨道交通车站、民用运输机场航站区、客运站、客运码头、大型景区等的自助公共服务终端设备，应当具备语音、大字、盲文等无障碍功能。</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电信业务经营者提供基础电信服务时，应当为残疾人、老年人提供必要的语音、大字信息服务或者人工服务。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政务服务便民热线和报警求助、消防应急、交通事故、医疗急救等紧急呼叫系统，应当逐步具备语音、大字、盲文、一键呼叫等无障碍功能。</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提供公共文化服务的图书馆、博物馆、文化馆、科技馆等应当考虑残疾人、老年人的特点，积极创造条件，提供适合其需要的文献信息、无障碍设施设备和服务等。</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国务院有关部门应当完善药品标签、说明书的管理规范，要求药品生产经营者提供语音、大字、盲文、电子等无障碍格式版本的标签、说明书。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国家鼓励其他商品的生产经营者提供语音、大字、盲文、电子等无障碍格式版本的标签、说明书，方便残疾人、老年人识别和使用。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国家推广和使用国家通用手语、国家通用盲文。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基本公共服务使用手语、盲文以及各类学校开展手语、盲文教育教学时，应当采用国家通用手语、国家通用盲文。</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四章 无障碍社会服务"/>
      <w:bookmarkEnd w:id="44"/>
      <w:r>
        <w:rPr>
          <w:rFonts w:ascii="Times New Roman" w:eastAsia="黑体" w:hAnsi="Times New Roman" w:cs="黑体" w:hint="eastAsia"/>
          <w:szCs w:val="32"/>
        </w:rPr>
        <w:t>第四章　无障碍社会服务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公共服务场所应当配备必要的无障碍设备和辅助器具，标注指引无障碍设施，为残疾人、老年人提供无障碍服务。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公共服务场所涉及医疗健康、社会保障、金融业务、生活缴费等服务事项的，应当保留现场指导、人工办理等传统服务方式。</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行政服务机构、社区服务机构以及供水、供电、供气、供热等公共服务机构，应当设置低位服务台或者无障碍服务窗口，配备电子信息显示屏、手写板、语音提示等设备，为残疾人、老年人提供无障碍服务。</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司法机关、仲裁机构、法律援助机构应当依法为残疾人、老年人参加诉讼、仲裁活动和获得法律援助提供无障碍服务。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国家鼓励律师事务所、公证机构、司法鉴定机构、基层法律服务所等法律服务机构，结合所提供的服务内容提供无障碍服务。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交通运输设施和公共交通运输工具的运营单位应当根据各类运输方式的服务特点，结合设施设备条件和所提供的服务内容，为残疾人、老年人设置无障碍服务窗口、专用等候区域、绿色通道和优先坐席，提供辅助器具、咨询引导、字幕报站、语音提示、预约定制等无障碍服务。</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教育行政部门和教育机构应当加强教育场所的无障碍环境建设，为有残疾的师生、员工提供无障碍服务。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国家举办的教育考试、职业资格考试、技术技能考试、招录招聘考试以及各类学校组织的统一考试，应当为有残疾的考生提供便利服务。</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医疗卫生机构应当结合所提供的服务内容，为残疾人、老年人就医提供便利。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与残疾人、老年人相关的服务机构应当配备无障碍设备，在生活照料、康复护理等方面提供无障碍服务。</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国家鼓励文化、旅游、体育、金融、邮政、电信、交通、商业、餐饮、住宿、物业管理等服务场所结合所提供的服务内容，为残疾人、老年人提供辅助器具、咨询引导等无障碍服务。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国家鼓励邮政、快递企业为行动不便的残疾人、老年人提供上门收寄服务。</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公共场所经营管理单位、交通运输设施和公共交通运输工具的运营单位应当为残疾人携带导盲犬、导听犬、辅助犬等服务犬提供便利。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残疾人携带服务犬出入公共场所、使用交通运输设施和公共交通运输工具的，应当遵守国家有关规定，为服务犬佩戴明显识别装备，并采取必要的防护措施。</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应急避难场所的管理人在制定以及实施工作预案时，应当考虑残疾人、老年人的无障碍需求，视情况设置语音、大字、闪光等提示装置，完善无障碍服务功能。</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组织选举的部门和单位应当采取措施，为残疾人、老年人选民参加投票提供便利和必要协助。</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国家鼓励和支持无障碍信息服务平台建设，为残疾人、老年人提供远程实时无障碍信息服务。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保障措施"/>
      <w:bookmarkEnd w:id="56"/>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国家开展无障碍环境理念的宣传教育，普及无障碍环境知识，传播无障碍环境文化，提升全社会的无障碍环境意识。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新闻媒体应当积极开展无障碍环境建设方面的公益宣传。</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国家推广通用设计理念，建立健全国家标准、行业标准、地方标准，鼓励发展具有引领性的团体标准、企业标准，加强标准之间的衔接配合，构建无障碍环境建设标准体系。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地方结合本地实际制定的地方标准不得低于国家标准的相关技术要求。</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制定或者修改涉及无障碍环境建设的标准，应当征求残疾人、老年人代表以及残疾人联合会、老龄协会等组织的意见。残疾人联合会、老龄协会等组织可以依法提出制定或者修改无障碍环境建设标准的建议。</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国家建立健全无障碍设计、设施、产品、服务的认证和无障碍信息的评测制度，并推动结果采信应用。</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国家通过经费支持、政府采购、税收优惠等方式，促进新科技成果在无障碍环境建设中的运用，鼓励无障碍技术、产品和服务的研发、生产、应用和推广，支持无障碍设施、信息和服务的融合发展。</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国家建立无障碍环境建设相关领域人才培养机制。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国家鼓励高等学校、中等职业学校等开设无障碍环境建设相关专业和课程，开展无障碍环境建设理论研究、国际交流和实践活动。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建筑、交通运输、计算机科学与技术等相关学科专业应当增加无障碍环境建设的教学和实践内容，相关领域职业资格、继续教育以及其他培训的考试内容应当包括无障碍环境建设知识。</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国家鼓励机关、企业事业单位、社会团体以及其他社会组织，对工作人员进行无障碍服务知识与技能培训。</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文明城市、文明村镇、文明单位、文明社区、文明校园等创建活动，应当将无障碍环境建设情况作为重要内容。</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监督管理"/>
      <w:bookmarkEnd w:id="65"/>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县级以上人民政府及其有关主管部门依法对无障碍环境建设进行监督检查，根据工作需要开展联合监督检查。</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国家实施无障碍环境建设目标责任制和考核评价制度。县级以上地方人民政府根据本地区实际，制定具体考核办法。</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县级以上地方人民政府有关主管部门定期委托第三方机构开展无障碍环境建设评估，并将评估结果向社会公布，接受社会监督。</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县级以上人民政府建立无障碍环境建设信息公示制度，定期发布无障碍环境建设情况。</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权向政府有关主管部门提出加强和改进无障碍环境建设的意见和建议，对违反本法规定的行为进行投诉、举报。县级以上人民政府有关主管部门接到涉及无障碍环境建设的投诉和举报，应当及时处理并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残疾人联合会、老龄协会等组织根据需要，可以聘请残疾人、老年人代表以及具有相关专业知识的人员，对无障碍环境建设情况进行监督。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新闻媒体可以对无障碍环境建设情况开展舆论监督。</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对违反本法规定损害社会公共利益的行为，人民检察院可以提出检察建议或者提起公益诉讼。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法律责任"/>
      <w:bookmarkEnd w:id="72"/>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工程建设、设计、施工、监理单位未按照本法规定进行建设、设计、施工、监理的，由住房和城乡建设、民政、交通运输等相关主管部门责令限期改正；逾期未改正的，依照相关法律法规的规定进行处罚。</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违反本法规定，有下列情形之一的，由住房和城乡建设、民政、交通运输等相关主管部门责令限期改正；逾期未改正的，对单位处一万元以上三万元以下罚款，对个人处一百元以上五百元以下罚款：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（一）无障碍设施责任人不履行维护和管理职责，无法保障无障碍设施功能正常和使用安全；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（二）设置临时无障碍设施不符合相关规定；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（三）擅自改变无障碍设施的用途或者非法占用、损坏无障碍设施。</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违反本法规定，不依法履行无障碍信息交流义务的，由网信、工业和信息化、电信、广播电视、新闻出版等相关主管部门责令限期改正；逾期未改正的，予以通报批评。</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电信业务经营者不依法提供无障碍信息服务的，由电信主管部门责令限期改正；逾期未改正的，处一万元以上十万元以下罚款。</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负有公共服务职责的部门和单位未依法提供无障碍社会服务的，由本级人民政府或者上级主管部门责令限期改正；逾期未改正的，对直接负责的主管人员和其他直接责任人员依法给予处分。</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考试举办者、组织者未依法向有残疾的考生提供便利服务的，由本级人民政府或者上级主管部门予以批评并责令改正；拒不改正的，对直接负责的主管人员和其他直接责任人员依法给予处分。</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无障碍环境建设相关主管部门、有关组织的工作人员滥用职权、玩忽职守、徇私舞弊的，依法给予处分。</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违反本法规定，造成人身损害、财产损失的，依法承担民事责任；构成犯罪的，依法追究刑事责任。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附则"/>
      <w:bookmarkEnd w:id="8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本法自2023年9月1日起施行。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