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C92458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期货和衍生品法"/>
      <w:bookmarkEnd w:id="0"/>
      <w:r>
        <w:rPr>
          <w:rFonts w:hint="eastAsia" w:ascii="方正小标宋简体" w:hAnsi="方正小标宋简体" w:eastAsia="方正小标宋简体" w:cs="方正小标宋简体"/>
          <w:color w:val="333333"/>
          <w:sz w:val="44"/>
          <w:szCs w:val="44"/>
          <w:shd w:val="clear" w:color="auto" w:fill="FFFFFF"/>
        </w:rPr>
        <w:t>中华人民共和国期货和衍生品法</w:t>
      </w:r>
    </w:p>
    <w:p w14:paraId="49AA848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（2022年4月20日第十三届全国人民代表大会常务委员会第三十四次会议通过）</w:t>
      </w:r>
    </w:p>
    <w:p w14:paraId="285E84C5">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3514F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期货交易和衍生品交易</w:t>
      </w:r>
    </w:p>
    <w:p w14:paraId="68D59B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345AB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期货交易</w:t>
      </w:r>
    </w:p>
    <w:p w14:paraId="0DB27A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衍生品交易</w:t>
      </w:r>
    </w:p>
    <w:p w14:paraId="41C987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期货结算与交割</w:t>
      </w:r>
    </w:p>
    <w:p w14:paraId="3C3D3F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期货交易者</w:t>
      </w:r>
    </w:p>
    <w:p w14:paraId="42CEED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期货经营机构</w:t>
      </w:r>
    </w:p>
    <w:p w14:paraId="38C69A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期货交易场所</w:t>
      </w:r>
    </w:p>
    <w:p w14:paraId="1DD7C9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期货结算机构</w:t>
      </w:r>
    </w:p>
    <w:p w14:paraId="7883EF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期货服务机构</w:t>
      </w:r>
    </w:p>
    <w:p w14:paraId="1D9EDE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期货业协会</w:t>
      </w:r>
    </w:p>
    <w:p w14:paraId="42A14F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监督管理</w:t>
      </w:r>
    </w:p>
    <w:p w14:paraId="5EFD6D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跨境交易与监管协作</w:t>
      </w:r>
    </w:p>
    <w:p w14:paraId="06BC26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法律责任</w:t>
      </w:r>
    </w:p>
    <w:p w14:paraId="2DF00D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附　　则</w:t>
      </w:r>
    </w:p>
    <w:p w14:paraId="456EFB7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4B5472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为了规范期货交易和衍生品交易行为，保障各方合法权益，维护市场秩序和社会公共利益，促进期货市场和衍生品市场服务国民经济，防范化解金融风险，维护国家经济安全，制定本法。</w:t>
      </w:r>
    </w:p>
    <w:p w14:paraId="65B7C40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在中华人民共和国境内，期货交易和衍生品交易及相关活动，适用本法。</w:t>
      </w:r>
    </w:p>
    <w:p w14:paraId="507C086E">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在中华人民共和国境外的期货交易和衍生品交易及相关活动，扰乱中华人民共和国境内市场秩序，损害境内交易者合法权益的，依照本法有关规定处理并追究法律责任。</w:t>
      </w:r>
    </w:p>
    <w:p w14:paraId="2DAC220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本法所称期货交易，是指以期货合约或者标准化期权合约为交易标的的交易活动。</w:t>
      </w:r>
    </w:p>
    <w:p w14:paraId="7174ECAF">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本法所称衍生品交易，是指期货交易以外的，以互换合约、远期合约和非标准化期权合约及其组合为交易标的的交易活动。</w:t>
      </w:r>
    </w:p>
    <w:p w14:paraId="6F068FF6">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本法所称期货合约，是指期货交易场所统一制定的、约定在将来某一特定的时间和地点交割一定数量标的物的标准化合约。</w:t>
      </w:r>
    </w:p>
    <w:p w14:paraId="7EB0B2C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本法所称期权合约，是指约定买方有权在将来某一时间以特定价格买入或者卖出约定标的物（包括期货合约）的标准化或非标准化合约。</w:t>
      </w:r>
    </w:p>
    <w:p w14:paraId="389989A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本法所称互换合约，是指约定在将来某一特定时间内相互交换特定标的物的金融合约。</w:t>
      </w:r>
    </w:p>
    <w:p w14:paraId="245115A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本法所称远期合约，是指期货合约以外的，约定在将来某一特定的时间和地点交割一定数量标的物的金融合约。</w:t>
      </w:r>
    </w:p>
    <w:p w14:paraId="4942E25F">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国家支持期货市场健康发展，发挥发现价格、管理风险、配置资源的功能。</w:t>
      </w:r>
    </w:p>
    <w:p w14:paraId="389600D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国家鼓励利用期货市场和衍生品市场从事套期保值等风险管理活动。</w:t>
      </w:r>
    </w:p>
    <w:p w14:paraId="2BC30D4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国家采取措施推动农产品期货市场和衍生品市场发展，引导国内农产品生产经营。</w:t>
      </w:r>
    </w:p>
    <w:p w14:paraId="36BC54E5">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本法所称套期保值，是指交易者为管理因其资产、负债等价值变化产生的风险而达成与上述资产、负债等基本吻合的期货交易和衍生品交易的活动。</w:t>
      </w:r>
    </w:p>
    <w:p w14:paraId="2A781B9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期货市场和衍生品市场应当建立和完善风险的监测监控与化解处置制度机制，依法限制过度投机行为，防范市场系统性风险。</w:t>
      </w:r>
    </w:p>
    <w:p w14:paraId="5346F51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期货交易和衍生品交易活动，应当遵守法律、行政法规和国家有关规定，遵循公开、公平、公正的原则，禁止欺诈、操纵市场和内幕交易的行为。</w:t>
      </w:r>
    </w:p>
    <w:p w14:paraId="3DE26AF8">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参与期货交易和衍生品交易活动的各方具有平等的法律地位，应当遵守自愿、有偿、诚实信用的原则。</w:t>
      </w:r>
    </w:p>
    <w:p w14:paraId="1F1EBCEE">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国务院期货监督管理机构依法对全国期货市场实行集中统一监督管理。国务院对利率、汇率期货的监督管理另有规定的，适用其规定。</w:t>
      </w:r>
    </w:p>
    <w:p w14:paraId="0BFBDF1F">
      <w:pPr>
        <w:ind w:firstLine="632" w:firstLineChars="200"/>
        <w:rPr>
          <w:rFonts w:ascii="Times New Roman" w:hAnsi="Times New Roman" w:cs="仿宋_GB2312"/>
          <w:sz w:val="32"/>
          <w:szCs w:val="32"/>
        </w:rPr>
      </w:pPr>
      <w:r>
        <w:rPr>
          <w:rFonts w:hint="eastAsia" w:ascii="Times New Roman" w:hAnsi="Times New Roman" w:cs="仿宋_GB2312"/>
          <w:sz w:val="32"/>
          <w:szCs w:val="32"/>
        </w:rPr>
        <w:t>衍生品市场由国务院期货监督管理机构或者国务院授权的部门按照职责分工实行监督管理。</w:t>
      </w:r>
    </w:p>
    <w:p w14:paraId="534F9C93">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期货和衍生品行业协会依法实行自律管理。</w:t>
      </w:r>
    </w:p>
    <w:p w14:paraId="14774F95">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国家审计机关依法对期货经营机构、期货交易场所、期货结算机构、国务院期货监督管理机构进行审计监督。</w:t>
      </w:r>
    </w:p>
    <w:p w14:paraId="1D4F6E7E">
      <w:pPr>
        <w:rPr>
          <w:rFonts w:ascii="Times New Roman" w:hAnsi="Times New Roman" w:eastAsia="宋体" w:cs="宋体"/>
          <w:szCs w:val="32"/>
        </w:rPr>
      </w:pPr>
    </w:p>
    <w:p w14:paraId="618A0735">
      <w:pPr>
        <w:jc w:val="center"/>
        <w:rPr>
          <w:rFonts w:ascii="Times New Roman" w:hAnsi="Times New Roman" w:eastAsia="黑体" w:cs="黑体"/>
          <w:szCs w:val="32"/>
        </w:rPr>
      </w:pPr>
      <w:bookmarkStart w:id="14" w:name="第二章 期货交易和衍生品交易"/>
      <w:bookmarkEnd w:id="14"/>
      <w:r>
        <w:rPr>
          <w:rFonts w:hint="eastAsia" w:ascii="Times New Roman" w:hAnsi="Times New Roman" w:eastAsia="黑体" w:cs="黑体"/>
          <w:szCs w:val="32"/>
        </w:rPr>
        <w:t>第二章　期货交易和衍生品交易</w:t>
      </w:r>
    </w:p>
    <w:p w14:paraId="635D9FC5">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5" w:name="第一节 一般规定"/>
      <w:bookmarkEnd w:id="15"/>
      <w:r>
        <w:rPr>
          <w:rFonts w:hint="eastAsia" w:ascii="Times New Roman" w:hAnsi="Times New Roman" w:eastAsia="宋体" w:cs="宋体"/>
          <w:sz w:val="32"/>
          <w:szCs w:val="32"/>
          <w:lang w:val="en-US"/>
        </w:rPr>
        <w:t>第一节　一般规定</w:t>
      </w:r>
    </w:p>
    <w:p w14:paraId="56125AC9">
      <w:pPr>
        <w:rPr>
          <w:rFonts w:ascii="Times New Roman" w:hAnsi="Times New Roman" w:eastAsia="宋体" w:cs="宋体"/>
          <w:szCs w:val="32"/>
        </w:rPr>
      </w:pPr>
    </w:p>
    <w:p w14:paraId="5DBDE9B1">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期货交易应当在依法设立的期货交易所或者国务院期货监督管理机构依法批准组织开展期货交易的其他期货交易场所（以下统称期货交易场所），采用公开的集中交易方式或者国务院期货监督管理机构批准的其他方式进行。</w:t>
      </w:r>
    </w:p>
    <w:p w14:paraId="1398EB1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禁止在期货交易场所之外进行期货交易。</w:t>
      </w:r>
    </w:p>
    <w:p w14:paraId="46CCA5E5">
      <w:pPr>
        <w:ind w:firstLine="632" w:firstLineChars="200"/>
        <w:rPr>
          <w:rFonts w:ascii="Times New Roman" w:hAnsi="Times New Roman" w:cs="仿宋_GB2312"/>
          <w:sz w:val="32"/>
          <w:szCs w:val="32"/>
        </w:rPr>
      </w:pPr>
      <w:r>
        <w:rPr>
          <w:rFonts w:hint="eastAsia" w:ascii="Times New Roman" w:hAnsi="Times New Roman" w:cs="仿宋_GB2312"/>
          <w:sz w:val="32"/>
          <w:szCs w:val="32"/>
        </w:rPr>
        <w:t>衍生品交易，可以采用协议交易或者国务院规定的其他交易方式进行。</w:t>
      </w:r>
    </w:p>
    <w:p w14:paraId="1A91C10E">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任何单位和个人不得操纵期货市场或者衍生品市场。</w:t>
      </w:r>
    </w:p>
    <w:p w14:paraId="1EF2444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禁止以下列手段操纵期货市场，影响或者意图影响期货交易价格或者期货交易量：</w:t>
      </w:r>
    </w:p>
    <w:p w14:paraId="22AE7612">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（一）单独或者合谋，集中资金优势、持仓优势或者利用信息优势联合或者连续买卖合约；</w:t>
      </w:r>
    </w:p>
    <w:p w14:paraId="62281C9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（二）与他人串通，以事先约定的时间、价格和方式相互进行期货交易；</w:t>
      </w:r>
    </w:p>
    <w:p w14:paraId="70A8AB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（三）在自己实际控制的账户之间进行期货交易；</w:t>
      </w:r>
    </w:p>
    <w:p w14:paraId="2A258E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（四）利用虚假或者不确定的重大信息，诱导交易者进行期货交易；</w:t>
      </w:r>
    </w:p>
    <w:p w14:paraId="09EB628A">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（五）不以成交为目的，频繁或者大量申报并撤销申报；</w:t>
      </w:r>
    </w:p>
    <w:p w14:paraId="282163EF">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（六）对相关期货交易或者合约标的物的交易作出公开评价、预测或者投资建议，并进行反向操作或者相关操作；</w:t>
      </w:r>
    </w:p>
    <w:p w14:paraId="3236390B">
      <w:pPr>
        <w:ind w:firstLine="632" w:firstLineChars="200"/>
        <w:rPr>
          <w:rFonts w:ascii="Times New Roman" w:hAnsi="Times New Roman" w:cs="仿宋_GB2312"/>
          <w:sz w:val="32"/>
          <w:szCs w:val="32"/>
        </w:rPr>
      </w:pPr>
      <w:r>
        <w:rPr>
          <w:rFonts w:hint="eastAsia" w:ascii="Times New Roman" w:hAnsi="Times New Roman" w:cs="仿宋_GB2312"/>
          <w:sz w:val="32"/>
          <w:szCs w:val="32"/>
        </w:rPr>
        <w:t>（七）为影响期货市场行情囤积现货；</w:t>
      </w:r>
    </w:p>
    <w:p w14:paraId="77AB3B7B">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（八）在交割月或者临近交割月，利用不正当手段规避持仓限额，形成持仓优势；</w:t>
      </w:r>
    </w:p>
    <w:p w14:paraId="12B14296">
      <w:pPr>
        <w:ind w:firstLine="632" w:firstLineChars="200"/>
        <w:rPr>
          <w:rFonts w:ascii="Times New Roman" w:hAnsi="Times New Roman" w:cs="仿宋_GB2312"/>
          <w:sz w:val="32"/>
          <w:szCs w:val="32"/>
        </w:rPr>
      </w:pPr>
      <w:r>
        <w:rPr>
          <w:rFonts w:hint="eastAsia" w:ascii="Times New Roman" w:hAnsi="Times New Roman" w:cs="仿宋_GB2312"/>
          <w:sz w:val="32"/>
          <w:szCs w:val="32"/>
        </w:rPr>
        <w:t>（九）利用在相关市场的活动操纵期货市场；</w:t>
      </w:r>
    </w:p>
    <w:p w14:paraId="644D2663">
      <w:pPr>
        <w:ind w:firstLine="632" w:firstLineChars="200"/>
        <w:rPr>
          <w:rFonts w:ascii="Times New Roman" w:hAnsi="Times New Roman" w:cs="仿宋_GB2312"/>
          <w:sz w:val="32"/>
          <w:szCs w:val="32"/>
        </w:rPr>
      </w:pPr>
      <w:r>
        <w:rPr>
          <w:rFonts w:hint="eastAsia" w:ascii="Times New Roman" w:hAnsi="Times New Roman" w:cs="仿宋_GB2312"/>
          <w:sz w:val="32"/>
          <w:szCs w:val="32"/>
        </w:rPr>
        <w:t>（十）操纵期货市场的其他手段。</w:t>
      </w:r>
    </w:p>
    <w:p w14:paraId="5583E7B3">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期货交易和衍生品交易的内幕信息的知情人和非法获取内幕信息的人，在内幕信息公开前不得从事相关期货交易或者衍生品交易，明示、暗示他人从事与内幕信息有关的期货交易或者衍生品交易，或者泄露内幕信息。</w:t>
      </w:r>
    </w:p>
    <w:p w14:paraId="0F349E25">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本法所称内幕信息，是指可能对期货交易或者衍生品交易的交易价格产生重大影响的尚未公开的信息。</w:t>
      </w:r>
    </w:p>
    <w:p w14:paraId="4B7E05EA">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期货交易的内幕信息包括：</w:t>
      </w:r>
    </w:p>
    <w:p w14:paraId="3B4671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（一）国务院期货监督管理机构以及其他相关部门正在制定或者尚未发布的对期货交易价格可能产生重大影响的政策、信息或者数据；</w:t>
      </w:r>
    </w:p>
    <w:p w14:paraId="2C1E53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（二）期货交易场所、期货结算机构作出的可能对期货交易价格产生重大影响的决定；</w:t>
      </w:r>
    </w:p>
    <w:p w14:paraId="1DA81A7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（三）期货交易场所会员、交易者的资金和交易动向；</w:t>
      </w:r>
    </w:p>
    <w:p w14:paraId="5767BDA4">
      <w:pPr>
        <w:ind w:firstLine="632" w:firstLineChars="200"/>
        <w:rPr>
          <w:rFonts w:ascii="Times New Roman" w:hAnsi="Times New Roman" w:cs="仿宋_GB2312"/>
          <w:sz w:val="32"/>
          <w:szCs w:val="32"/>
        </w:rPr>
      </w:pPr>
      <w:r>
        <w:rPr>
          <w:rFonts w:hint="eastAsia" w:ascii="Times New Roman" w:hAnsi="Times New Roman" w:cs="仿宋_GB2312"/>
          <w:sz w:val="32"/>
          <w:szCs w:val="32"/>
        </w:rPr>
        <w:t>（四）相关市场中的重大异常交易信息；</w:t>
      </w:r>
    </w:p>
    <w:p w14:paraId="4DA70899">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（五）国务院期货监督管理机构规定的对期货交易价格有重大影响的其他信息。</w:t>
      </w:r>
    </w:p>
    <w:p w14:paraId="3DDD56CD">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本法所称内幕信息的知情人，是指由于经营地位、管理地位、监督地位或者职务便利等，能够接触或者获得内幕信息的单位和个人。</w:t>
      </w:r>
    </w:p>
    <w:p w14:paraId="1202D84A">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期货交易的内幕信息的知情人包括：</w:t>
      </w:r>
    </w:p>
    <w:p w14:paraId="159EBEA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（一）期货经营机构、期货交易场所、期货结算机构、期货服务机构的有关人员；</w:t>
      </w:r>
    </w:p>
    <w:p w14:paraId="71F303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（二）国务院期货监督管理机构和其他有关部门的工作人员；</w:t>
      </w:r>
    </w:p>
    <w:p w14:paraId="47E90706">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（三）国务院期货监督管理机构规定的可以获取内幕信息的其他单位和个人。</w:t>
      </w:r>
    </w:p>
    <w:p w14:paraId="39AE8BFD">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禁止任何单位和个人编造、传播虚假信息或者误导性信息，扰乱期货市场和衍生品市场。</w:t>
      </w:r>
    </w:p>
    <w:p w14:paraId="55C4E68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期货经营机构、期货交易场所、期货结算机构、期货服务机构及其从业人员，组织、开展衍生品交易的场所、机构及其从业人员，期货和衍生品行业协会、国务院期货监督管理机构、国务院授权的部门及其工作人员，在期货交易和衍生品交易及相关活动中作出虚假陈述或者信息误导。</w:t>
      </w:r>
    </w:p>
    <w:p w14:paraId="740F0327">
      <w:pPr>
        <w:ind w:firstLine="632" w:firstLineChars="200"/>
        <w:rPr>
          <w:rFonts w:ascii="Times New Roman" w:hAnsi="Times New Roman" w:cs="仿宋_GB2312"/>
          <w:sz w:val="32"/>
          <w:szCs w:val="32"/>
        </w:rPr>
      </w:pPr>
      <w:r>
        <w:rPr>
          <w:rFonts w:hint="eastAsia" w:ascii="Times New Roman" w:hAnsi="Times New Roman" w:cs="仿宋_GB2312"/>
          <w:sz w:val="32"/>
          <w:szCs w:val="32"/>
        </w:rPr>
        <w:t>各种传播媒介传播期货市场和衍生品市场信息应当真实、客观，禁止误导。传播媒介及其从事期货市场和衍生品市场信息报道的工作人员不得从事与其工作职责发生利益冲突的期货交易和衍生品交易及相关活动。</w:t>
      </w:r>
    </w:p>
    <w:p w14:paraId="3202830B">
      <w:pPr>
        <w:rPr>
          <w:rFonts w:ascii="Times New Roman" w:hAnsi="Times New Roman" w:eastAsia="宋体" w:cs="宋体"/>
          <w:szCs w:val="32"/>
        </w:rPr>
      </w:pPr>
    </w:p>
    <w:p w14:paraId="24ACB6ED">
      <w:pPr>
        <w:jc w:val="center"/>
        <w:rPr>
          <w:rFonts w:ascii="Times New Roman" w:hAnsi="Times New Roman" w:eastAsia="宋体" w:cs="宋体"/>
          <w:szCs w:val="32"/>
        </w:rPr>
      </w:pPr>
      <w:bookmarkStart w:id="22" w:name="第二节 期货交易"/>
      <w:bookmarkEnd w:id="22"/>
      <w:r>
        <w:rPr>
          <w:rFonts w:hint="eastAsia" w:ascii="Times New Roman" w:hAnsi="Times New Roman" w:eastAsia="宋体" w:cs="宋体"/>
          <w:sz w:val="32"/>
          <w:szCs w:val="32"/>
          <w:lang w:val="en-US"/>
        </w:rPr>
        <w:t>第二节　期货交易</w:t>
      </w:r>
    </w:p>
    <w:p w14:paraId="793F91E7">
      <w:pPr>
        <w:rPr>
          <w:rFonts w:ascii="Times New Roman" w:hAnsi="Times New Roman" w:eastAsia="宋体" w:cs="宋体"/>
          <w:szCs w:val="32"/>
        </w:rPr>
      </w:pPr>
    </w:p>
    <w:p w14:paraId="297C851E">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期货合约品种和标准化期权合约品种的上市应当符合国务院期货监督管理机构的规定，由期货交易场所依法报经国务院期货监督管理机构注册。</w:t>
      </w:r>
    </w:p>
    <w:p w14:paraId="23EA03E9">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期货合约品种和标准化期权合约品种的中止上市、恢复上市、终止上市应当符合国务院期货监督管理机构的规定，由期货交易场所决定并向国务院期货监督管理机构备案。</w:t>
      </w:r>
    </w:p>
    <w:p w14:paraId="1EAA1794">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期货合约品种和标准化期权合约品种应当具有经济价值，合约不易被操纵，符合社会公共利益。</w:t>
      </w:r>
    </w:p>
    <w:p w14:paraId="12D36925">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期货交易实行账户实名制。交易者进行期货交易的，应当持有证明身份的合法证件，以本人名义申请开立账户。</w:t>
      </w:r>
    </w:p>
    <w:p w14:paraId="59CD07F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任何单位和个人不得违反规定，出借自己的期货账户或者借用他人的期货账户从事期货交易。</w:t>
      </w:r>
    </w:p>
    <w:p w14:paraId="3938C77D">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在期货交易场所进行期货交易的，应当是期货交易场所会员或者符合国务院期货监督管理机构规定的其他参与者。</w:t>
      </w:r>
    </w:p>
    <w:p w14:paraId="3A43F062">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交易者委托期货经营机构进行交易的，可以通过书面、电话、自助终端、网络等方式下达交易指令。交易指令应当明确、具体、全面。</w:t>
      </w:r>
    </w:p>
    <w:p w14:paraId="55BF2612">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通过计算机程序自动生成或者下达交易指令进行程序化交易的，应当符合国务院期货监督管理机构的规定，并向期货交易场所报告，不得影响期货交易场所系统安全或者正常交易秩序。</w:t>
      </w:r>
    </w:p>
    <w:p w14:paraId="66BEE1DD">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期货交易实行保证金制度，期货结算机构向结算参与人收取保证金，结算参与人向交易者收取保证金。保证金用于结算和履约保障。</w:t>
      </w:r>
    </w:p>
    <w:p w14:paraId="7A25EF4F">
      <w:pPr>
        <w:ind w:firstLine="632" w:firstLineChars="200"/>
        <w:rPr>
          <w:rFonts w:ascii="Times New Roman" w:hAnsi="Times New Roman" w:cs="仿宋_GB2312"/>
          <w:sz w:val="32"/>
          <w:szCs w:val="32"/>
        </w:rPr>
      </w:pPr>
      <w:r>
        <w:rPr>
          <w:rFonts w:hint="eastAsia" w:ascii="Times New Roman" w:hAnsi="Times New Roman" w:cs="仿宋_GB2312"/>
          <w:sz w:val="32"/>
          <w:szCs w:val="32"/>
        </w:rPr>
        <w:t>保证金的形式包括现金，国债、股票、基金份额、标准仓单等流动性强的有价证券，以及国务院期货监督管理机构规定的其他财产。以有价证券等作为保证金的，可以依法通过质押等具有履约保障功能的方式进行。</w:t>
      </w:r>
    </w:p>
    <w:p w14:paraId="5F1D4932">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期货结算机构、结算参与人收取的保证金的形式、比例等应当符合国务院期货监督管理机构的规定。</w:t>
      </w:r>
    </w:p>
    <w:p w14:paraId="4C9747C2">
      <w:pPr>
        <w:ind w:firstLine="632" w:firstLineChars="200"/>
        <w:rPr>
          <w:rFonts w:ascii="Times New Roman" w:hAnsi="Times New Roman" w:cs="仿宋_GB2312"/>
          <w:sz w:val="32"/>
          <w:szCs w:val="32"/>
        </w:rPr>
      </w:pPr>
      <w:r>
        <w:rPr>
          <w:rFonts w:hint="eastAsia" w:ascii="Times New Roman" w:hAnsi="Times New Roman" w:cs="仿宋_GB2312"/>
          <w:sz w:val="32"/>
          <w:szCs w:val="32"/>
        </w:rPr>
        <w:t>交易者进行标准化期权合约交易的，卖方应当缴纳保证金，买方应当支付权利金。</w:t>
      </w:r>
    </w:p>
    <w:p w14:paraId="188A0F4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前款所称权利金是指买方支付的用于购买标准化期权合约的资金。</w:t>
      </w:r>
    </w:p>
    <w:p w14:paraId="2386C7F9">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期货交易实行持仓限额制度，防范合约持仓过度集中的风险。</w:t>
      </w:r>
    </w:p>
    <w:p w14:paraId="74B47EC4">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从事套期保值等风险管理活动的，可以申请持仓限额豁免。</w:t>
      </w:r>
    </w:p>
    <w:p w14:paraId="3D15F277">
      <w:pPr>
        <w:ind w:firstLine="632" w:firstLineChars="200"/>
        <w:rPr>
          <w:rFonts w:ascii="Times New Roman" w:hAnsi="Times New Roman" w:cs="仿宋_GB2312"/>
          <w:sz w:val="32"/>
          <w:szCs w:val="32"/>
        </w:rPr>
      </w:pPr>
      <w:r>
        <w:rPr>
          <w:rFonts w:hint="eastAsia" w:ascii="Times New Roman" w:hAnsi="Times New Roman" w:cs="仿宋_GB2312"/>
          <w:sz w:val="32"/>
          <w:szCs w:val="32"/>
        </w:rPr>
        <w:t>持仓限额、套期保值的管理办法由国务院期货监督管理机构制定。</w:t>
      </w:r>
    </w:p>
    <w:p w14:paraId="3555F3C2">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期货交易实行交易者实际控制关系报备管理制度。交易者应当按照国务院期货监督管理机构的规定向期货经营机构或者期货交易场所报备实际控制关系。</w:t>
      </w:r>
    </w:p>
    <w:p w14:paraId="25323213">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期货交易的收费应当合理，收费项目、收费标准和管理办法应当公开。</w:t>
      </w:r>
    </w:p>
    <w:p w14:paraId="5FF06EF4">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依照期货交易场所依法制定的业务规则进行的交易，不得改变其交易结果，本法第八十九条第二款规定的除外。</w:t>
      </w:r>
    </w:p>
    <w:p w14:paraId="274F465B">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期货交易场所会员和交易者应当按照国务院期货监督管理机构的规定，报告有关交易、持仓、保证金等重大事项。</w:t>
      </w:r>
    </w:p>
    <w:p w14:paraId="76931FEB">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任何单位和个人不得违规使用信贷资金、财政资金进行期货交易。</w:t>
      </w:r>
    </w:p>
    <w:p w14:paraId="06F8C0B4">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期货经营机构、期货交易场所、期货结算机构、期货服务机构等机构及其从业人员对发现的禁止的交易行为，应当及时向国务院期货监督管理机构报告。</w:t>
      </w:r>
    </w:p>
    <w:p w14:paraId="4AEC2164">
      <w:pPr>
        <w:rPr>
          <w:rFonts w:ascii="Times New Roman" w:hAnsi="Times New Roman" w:eastAsia="宋体" w:cs="宋体"/>
          <w:szCs w:val="32"/>
        </w:rPr>
      </w:pPr>
    </w:p>
    <w:p w14:paraId="756607CF">
      <w:pPr>
        <w:jc w:val="center"/>
        <w:rPr>
          <w:rFonts w:ascii="Times New Roman" w:hAnsi="Times New Roman" w:eastAsia="宋体" w:cs="宋体"/>
          <w:szCs w:val="32"/>
        </w:rPr>
      </w:pPr>
      <w:bookmarkStart w:id="36" w:name="第三节 衍生品交易"/>
      <w:bookmarkEnd w:id="36"/>
      <w:r>
        <w:rPr>
          <w:rFonts w:hint="eastAsia" w:ascii="Times New Roman" w:hAnsi="Times New Roman" w:eastAsia="宋体" w:cs="宋体"/>
          <w:sz w:val="32"/>
          <w:szCs w:val="32"/>
          <w:lang w:val="en-US"/>
        </w:rPr>
        <w:t>第三节　衍生品交易</w:t>
      </w:r>
    </w:p>
    <w:p w14:paraId="22B933F9">
      <w:pPr>
        <w:rPr>
          <w:rFonts w:ascii="Times New Roman" w:hAnsi="Times New Roman" w:eastAsia="宋体" w:cs="宋体"/>
          <w:szCs w:val="32"/>
        </w:rPr>
      </w:pPr>
    </w:p>
    <w:p w14:paraId="1FC34565">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依法设立的场所，经国务院授权的部门或者国务院期货监督管理机构审批，可以组织开展衍生品交易。</w:t>
      </w:r>
    </w:p>
    <w:p w14:paraId="10E1BF69">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组织开展衍生品交易的场所制定的交易规则，应当公平保护交易参与各方合法权益和防范市场风险，并报国务院授权的部门或者国务院期货监督管理机构批准。</w:t>
      </w:r>
    </w:p>
    <w:p w14:paraId="3C7F1303">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金融机构开展衍生品交易业务，应当依法经过批准或者核准，履行交易者适当性管理义务，并应当遵守国家有关监督管理规定。</w:t>
      </w:r>
    </w:p>
    <w:p w14:paraId="7B499B18">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衍生品交易采用主协议方式的，主协议、主协议项下的全部补充协议以及交易双方就各项具体交易作出的约定等，共同构成交易双方之间一个完整的单一协议，具有法律约束力。</w:t>
      </w:r>
    </w:p>
    <w:p w14:paraId="44DFD8FF">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本法第三十二条规定的主协议等合同范本，应当按照国务院授权的部门或者国务院期货监督管理机构的规定报送备案。</w:t>
      </w:r>
    </w:p>
    <w:p w14:paraId="04D89E12">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进行衍生品交易，可以依法通过质押等方式提供履约保障。</w:t>
      </w:r>
    </w:p>
    <w:p w14:paraId="00B28392">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依法采用主协议方式从事衍生品交易的，发生约定的情形时，可以依照协议约定终止交易，并按净额对协议项下的全部交易盈亏进行结算。</w:t>
      </w:r>
    </w:p>
    <w:p w14:paraId="41545180">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依照前款规定进行的净额结算，不因交易任何一方依法进入破产程序而中止、无效或者撤销。</w:t>
      </w:r>
    </w:p>
    <w:p w14:paraId="3CBFC897">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务院授权的部门、国务院期货监督管理机构应当建立衍生品交易报告库，对衍生品交易标的、规模、对手方等信息进行集中收集、保存、分析和管理，并按照规定及时向市场披露有关信息。具体办法由国务院授权的部门、国务院期货监督管理机构规定。</w:t>
      </w:r>
    </w:p>
    <w:p w14:paraId="1ED03E5A">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衍生品交易，由国务院授权的部门或者国务院期货监督管理机构批准的结算机构作为中央对手方进行集中结算的，可以依法进行终止净额结算；结算财产应当优先用于结算和交割，不得被查封、冻结、扣押或者强制执行；在结算和交割完成前，任何人不得动用。</w:t>
      </w:r>
    </w:p>
    <w:p w14:paraId="668AF672">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依法进行的集中结算，不因参与结算的任何一方依法进入破产程序而中止、无效或者撤销。</w:t>
      </w:r>
    </w:p>
    <w:p w14:paraId="4203AFEB">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对衍生品交易及相关活动进行规范和监督管理的具体办法，由国务院依照本法的原则规定。</w:t>
      </w:r>
    </w:p>
    <w:p w14:paraId="46749CB9">
      <w:pPr>
        <w:rPr>
          <w:rFonts w:ascii="Times New Roman" w:hAnsi="Times New Roman" w:eastAsia="宋体" w:cs="宋体"/>
          <w:szCs w:val="32"/>
        </w:rPr>
      </w:pPr>
    </w:p>
    <w:p w14:paraId="1CA1621A">
      <w:pPr>
        <w:jc w:val="center"/>
        <w:rPr>
          <w:rFonts w:ascii="Times New Roman" w:hAnsi="Times New Roman" w:eastAsia="黑体" w:cs="黑体"/>
          <w:szCs w:val="32"/>
        </w:rPr>
      </w:pPr>
      <w:bookmarkStart w:id="46" w:name="第三章 期货结算与交割"/>
      <w:bookmarkEnd w:id="46"/>
      <w:r>
        <w:rPr>
          <w:rFonts w:hint="eastAsia" w:ascii="Times New Roman" w:hAnsi="Times New Roman" w:eastAsia="黑体" w:cs="黑体"/>
          <w:szCs w:val="32"/>
        </w:rPr>
        <w:t>第三章　期货结算与交割</w:t>
      </w:r>
    </w:p>
    <w:p w14:paraId="3FAA52AB">
      <w:pPr>
        <w:rPr>
          <w:rFonts w:ascii="Times New Roman" w:hAnsi="Times New Roman" w:eastAsia="宋体" w:cs="宋体"/>
          <w:szCs w:val="32"/>
        </w:rPr>
      </w:pPr>
    </w:p>
    <w:p w14:paraId="7C55EBBF">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期货交易实行当日无负债结算制度。在期货交易场所规定的时间，期货结算机构应当在当日按照结算价对结算参与人进行结算；结算参与人应当根据期货结算机构的结算结果对交易者进行结算。结算结果应当在当日及时通知结算参与人和交易者。</w:t>
      </w:r>
    </w:p>
    <w:p w14:paraId="3E2795A6">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期货结算机构、结算参与人收取的保证金、权利金等，应当与其自有资金分开，按照国务院期货监督管理机构的规定，在期货保证金存管机构专户存放，分别管理，禁止违规挪用。</w:t>
      </w:r>
    </w:p>
    <w:p w14:paraId="77C0AE64">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结算参与人的保证金不符合期货结算机构业务规则规定标准的，期货结算机构应当按照业务规则的规定通知结算参与人在规定时间内追加保证金或者自行平仓；结算参与人未在规定时间内追加保证金或者自行平仓的，通知期货交易场所强行平仓。</w:t>
      </w:r>
    </w:p>
    <w:p w14:paraId="12D8DC3D">
      <w:pPr>
        <w:ind w:firstLine="632" w:firstLineChars="200"/>
        <w:rPr>
          <w:rFonts w:ascii="Times New Roman" w:hAnsi="Times New Roman" w:cs="仿宋_GB2312"/>
          <w:sz w:val="32"/>
          <w:szCs w:val="32"/>
        </w:rPr>
      </w:pPr>
      <w:r>
        <w:rPr>
          <w:rFonts w:hint="eastAsia" w:ascii="Times New Roman" w:hAnsi="Times New Roman" w:cs="仿宋_GB2312"/>
          <w:sz w:val="32"/>
          <w:szCs w:val="32"/>
        </w:rPr>
        <w:t>交易者的保证金不符合结算参与人与交易者约定标准的，结算参与人应当按照约定通知交易者在约定时间内追加保证金或者自行平仓；交易者未在约定时间内追加保证金或者自行平仓的，按照约定强行平仓。</w:t>
      </w:r>
    </w:p>
    <w:p w14:paraId="1B2DF6B5">
      <w:pPr>
        <w:ind w:firstLine="632" w:firstLineChars="200"/>
        <w:rPr>
          <w:rFonts w:ascii="Times New Roman" w:hAnsi="Times New Roman" w:cs="仿宋_GB2312"/>
          <w:sz w:val="32"/>
          <w:szCs w:val="32"/>
        </w:rPr>
      </w:pPr>
      <w:r>
        <w:rPr>
          <w:rFonts w:hint="eastAsia" w:ascii="Times New Roman" w:hAnsi="Times New Roman" w:cs="仿宋_GB2312"/>
          <w:sz w:val="32"/>
          <w:szCs w:val="32"/>
        </w:rPr>
        <w:t>以有价证券等作为保证金，期货结算机构、结算参与人按照前两款规定强行平仓的，可以对有价证券等进行处置。</w:t>
      </w:r>
    </w:p>
    <w:p w14:paraId="4C712111">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结算参与人在结算过程中违约的，期货结算机构按照业务规则动用结算参与人的保证金、结算担保金以及结算机构的风险准备金、自有资金等完成结算；期货结算机构以其风险准备金、自有资金等完成结算的，可以依法对该结算参与人进行追偿。</w:t>
      </w:r>
    </w:p>
    <w:p w14:paraId="6BCB1A76">
      <w:pPr>
        <w:ind w:firstLine="632" w:firstLineChars="200"/>
        <w:rPr>
          <w:rFonts w:ascii="Times New Roman" w:hAnsi="Times New Roman" w:cs="仿宋_GB2312"/>
          <w:sz w:val="32"/>
          <w:szCs w:val="32"/>
        </w:rPr>
      </w:pPr>
      <w:r>
        <w:rPr>
          <w:rFonts w:hint="eastAsia" w:ascii="Times New Roman" w:hAnsi="Times New Roman" w:cs="仿宋_GB2312"/>
          <w:sz w:val="32"/>
          <w:szCs w:val="32"/>
        </w:rPr>
        <w:t>交易者在结算过程中违约的，其委托的结算参与人按照合同约定动用该交易者的保证金以及结算参与人的风险准备金和自有资金完成结算；结算参与人以其风险准备金和自有资金完成结算的，可以依法对该交易者进行追偿。</w:t>
      </w:r>
    </w:p>
    <w:p w14:paraId="03C8130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本法所称结算担保金，是指结算参与人以自有资金向期货结算机构缴纳的，用于担保履约的资金。</w:t>
      </w:r>
    </w:p>
    <w:p w14:paraId="2F1894D9">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期货结算机构依照其业务规则收取和提取的保证金、权利金、结算担保金、风险准备金等资产，应当优先用于结算和交割，不得被查封、冻结、扣押或者强制执行。</w:t>
      </w:r>
    </w:p>
    <w:p w14:paraId="3CE8F55D">
      <w:pPr>
        <w:ind w:firstLine="632" w:firstLineChars="200"/>
        <w:rPr>
          <w:rFonts w:ascii="Times New Roman" w:hAnsi="Times New Roman" w:cs="仿宋_GB2312"/>
          <w:sz w:val="32"/>
          <w:szCs w:val="32"/>
        </w:rPr>
      </w:pPr>
      <w:r>
        <w:rPr>
          <w:rFonts w:hint="eastAsia" w:ascii="Times New Roman" w:hAnsi="Times New Roman" w:cs="仿宋_GB2312"/>
          <w:sz w:val="32"/>
          <w:szCs w:val="32"/>
        </w:rPr>
        <w:t>在结算和交割完成之前，任何人不得动用用于担保履约和交割的保证金、进入交割环节的交割财产。</w:t>
      </w:r>
    </w:p>
    <w:p w14:paraId="4B5B3391">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依法进行的结算和交割，不因参与结算的任何一方依法进入破产程序而中止、无效或者撤销。</w:t>
      </w:r>
    </w:p>
    <w:p w14:paraId="5E6F1415">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期货合约到期时，交易者应当通过实物交割或者现金交割，了结到期未平仓合约。</w:t>
      </w:r>
    </w:p>
    <w:p w14:paraId="1261A516">
      <w:pPr>
        <w:ind w:firstLine="632" w:firstLineChars="200"/>
        <w:rPr>
          <w:rFonts w:ascii="Times New Roman" w:hAnsi="Times New Roman" w:cs="仿宋_GB2312"/>
          <w:sz w:val="32"/>
          <w:szCs w:val="32"/>
        </w:rPr>
      </w:pPr>
      <w:r>
        <w:rPr>
          <w:rFonts w:hint="eastAsia" w:ascii="Times New Roman" w:hAnsi="Times New Roman" w:cs="仿宋_GB2312"/>
          <w:sz w:val="32"/>
          <w:szCs w:val="32"/>
        </w:rPr>
        <w:t>在标准化期权合约规定的时间，合约的买方有权以约定的价格买入或者卖出标的物，或者按照约定进行现金差价结算，合约的卖方应当按照约定履行相应的义务。标准化期权合约的行权，由期货结算机构组织进行。</w:t>
      </w:r>
    </w:p>
    <w:p w14:paraId="1FFD4C09">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期货合约采取实物交割的，由期货结算机构负责组织货款与标准仓单等合约标的物权利凭证的交付。</w:t>
      </w:r>
    </w:p>
    <w:p w14:paraId="31808FD7">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期货合约采取现金交割的，由期货结算机构以交割结算价为基础，划付持仓双方的盈亏款项。</w:t>
      </w:r>
    </w:p>
    <w:p w14:paraId="37A65AF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本法所称标准仓单，是指交割库开具并经期货交易场所登记的标准化提货凭证。</w:t>
      </w:r>
    </w:p>
    <w:p w14:paraId="3E23E5A6">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期货交易的实物交割在期货交易场所指定的交割库、交割港口或者其他符合期货交易场所要求的地点进行。实物交割不得限制交割总量。采用标准仓单以外的单据凭证或者其他方式进行实物交割的，期货交易场所应当明确规定交割各方的权利和义务。</w:t>
      </w:r>
    </w:p>
    <w:p w14:paraId="31E82508">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结算参与人在交割过程中违约的，期货结算机构有权对结算参与人的标准仓单等合约标的物权利凭证进行处置。</w:t>
      </w:r>
    </w:p>
    <w:p w14:paraId="08923E39">
      <w:pPr>
        <w:ind w:firstLine="632" w:firstLineChars="200"/>
        <w:rPr>
          <w:rFonts w:ascii="Times New Roman" w:hAnsi="Times New Roman" w:cs="仿宋_GB2312"/>
          <w:sz w:val="32"/>
          <w:szCs w:val="32"/>
        </w:rPr>
      </w:pPr>
      <w:r>
        <w:rPr>
          <w:rFonts w:hint="eastAsia" w:ascii="Times New Roman" w:hAnsi="Times New Roman" w:cs="仿宋_GB2312"/>
          <w:sz w:val="32"/>
          <w:szCs w:val="32"/>
        </w:rPr>
        <w:t>交易者在交割过程中违约的，结算参与人有权对交易者的标准仓单等合约标的物权利凭证进行处置。</w:t>
      </w:r>
    </w:p>
    <w:p w14:paraId="4856B484">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不符合结算参与人条件的期货经营机构可以委托结算参与人代为其客户进行结算。不符合结算参与人条件的期货经营机构与结算参与人、交易者之间的权利义务关系，参照本章关于结算参与人与交易者之间权利义务的规定执行。</w:t>
      </w:r>
    </w:p>
    <w:p w14:paraId="451DDC85">
      <w:pPr>
        <w:rPr>
          <w:rFonts w:ascii="Times New Roman" w:hAnsi="Times New Roman" w:eastAsia="宋体" w:cs="宋体"/>
          <w:szCs w:val="32"/>
        </w:rPr>
      </w:pPr>
    </w:p>
    <w:p w14:paraId="5A2DE031">
      <w:pPr>
        <w:jc w:val="center"/>
        <w:rPr>
          <w:rFonts w:ascii="Times New Roman" w:hAnsi="Times New Roman" w:eastAsia="黑体" w:cs="黑体"/>
          <w:szCs w:val="32"/>
        </w:rPr>
      </w:pPr>
      <w:bookmarkStart w:id="57" w:name="第四章 期货交易者"/>
      <w:bookmarkEnd w:id="57"/>
      <w:r>
        <w:rPr>
          <w:rFonts w:hint="eastAsia" w:ascii="Times New Roman" w:hAnsi="Times New Roman" w:eastAsia="黑体" w:cs="黑体"/>
          <w:szCs w:val="32"/>
        </w:rPr>
        <w:t>第四章　期货交易者</w:t>
      </w:r>
    </w:p>
    <w:p w14:paraId="3BC6243A">
      <w:pPr>
        <w:rPr>
          <w:rFonts w:ascii="Times New Roman" w:hAnsi="Times New Roman" w:eastAsia="宋体" w:cs="宋体"/>
          <w:szCs w:val="32"/>
        </w:rPr>
      </w:pPr>
    </w:p>
    <w:p w14:paraId="5B4FE775">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期货交易者是指依照本法从事期货交易，承担交易结果的自然人、法人和非法人组织。</w:t>
      </w:r>
    </w:p>
    <w:p w14:paraId="680D24ED">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期货交易者从事期货交易，除国务院期货监督管理机构另有规定外，应当委托期货经营机构进行。</w:t>
      </w:r>
    </w:p>
    <w:p w14:paraId="3B3F0011">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期货经营机构向交易者提供服务时，应当按照规定充分了解交易者的基本情况、财产状况、金融资产状况、交易知识和经验、专业能力等相关信息；如实说明服务的重要内容，充分揭示交易风险；提供与交易者上述状况相匹配的服务。</w:t>
      </w:r>
    </w:p>
    <w:p w14:paraId="228C8DCE">
      <w:pPr>
        <w:ind w:firstLine="632" w:firstLineChars="200"/>
        <w:rPr>
          <w:rFonts w:ascii="Times New Roman" w:hAnsi="Times New Roman" w:cs="仿宋_GB2312"/>
          <w:sz w:val="32"/>
          <w:szCs w:val="32"/>
        </w:rPr>
      </w:pPr>
      <w:r>
        <w:rPr>
          <w:rFonts w:hint="eastAsia" w:ascii="Times New Roman" w:hAnsi="Times New Roman" w:cs="仿宋_GB2312"/>
          <w:sz w:val="32"/>
          <w:szCs w:val="32"/>
        </w:rPr>
        <w:t>交易者在参与期货交易和接受服务时，应当按照期货经营机构明示的要求提供前款所列真实信息。拒绝提供或者未按照要求提供信息的，期货经营机构应当告知其后果，并按照规定拒绝提供服务。</w:t>
      </w:r>
    </w:p>
    <w:p w14:paraId="2E740E9B">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期货经营机构违反第一款规定导致交易者损失的，应当承担相应的赔偿责任。</w:t>
      </w:r>
    </w:p>
    <w:p w14:paraId="0F5C16D1">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根据财产状况、金融资产状况、交易知识和经验、专业能力等因素，交易者可以分为普通交易者和专业交易者。专业交易者的标准由国务院期货监督管理机构规定。</w:t>
      </w:r>
    </w:p>
    <w:p w14:paraId="1D012A2D">
      <w:pPr>
        <w:ind w:firstLine="632" w:firstLineChars="200"/>
        <w:rPr>
          <w:rFonts w:ascii="Times New Roman" w:hAnsi="Times New Roman" w:cs="仿宋_GB2312"/>
          <w:sz w:val="32"/>
          <w:szCs w:val="32"/>
        </w:rPr>
      </w:pPr>
      <w:r>
        <w:rPr>
          <w:rFonts w:hint="eastAsia" w:ascii="Times New Roman" w:hAnsi="Times New Roman" w:cs="仿宋_GB2312"/>
          <w:sz w:val="32"/>
          <w:szCs w:val="32"/>
        </w:rPr>
        <w:t>普通交易者与期货经营机构发生纠纷的，期货经营机构应当证明其行为符合法律、行政法规以及国务院期货监督管理机构的规定，不存在误导、欺诈等情形。期货经营机构不能证明的，应当承担相应的赔偿责任。</w:t>
      </w:r>
    </w:p>
    <w:p w14:paraId="03E8306D">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参与期货交易的法人和非法人组织，应当建立与其交易合约类型、规模、目的等相适应的内部控制制度和风险控制制度。</w:t>
      </w:r>
    </w:p>
    <w:p w14:paraId="2C73CF45">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期货经营机构、期货交易场所、期货结算机构的从业人员，国务院期货监督管理机构、期货业协会的工作人员，以及法律、行政法规和国务院期货监督管理机构规定禁止参与期货交易的其他人员，不得进行期货交易。</w:t>
      </w:r>
    </w:p>
    <w:p w14:paraId="04485030">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交易者有权查询其委托记录、交易记录、保证金余额、与其接受服务有关的其他重要信息。</w:t>
      </w:r>
    </w:p>
    <w:p w14:paraId="7A657D5C">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期货经营机构、期货交易场所、期货结算机构、期货服务机构及其工作人员应当依法为交易者的信息保密，不得非法买卖、提供或者公开交易者的信息。</w:t>
      </w:r>
    </w:p>
    <w:p w14:paraId="08454472">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期货经营机构、期货交易场所、期货结算机构、期货服务机构及其工作人员不得泄露所知悉的商业秘密。</w:t>
      </w:r>
    </w:p>
    <w:p w14:paraId="46DC5C51">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交易者与期货经营机构等发生纠纷的，双方可以向行业协会等申请调解。普通交易者与期货经营机构发生期货业务纠纷并提出调解请求的，期货经营机构不得拒绝。</w:t>
      </w:r>
    </w:p>
    <w:p w14:paraId="7D5E8B57">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交易者提起操纵市场、内幕交易等期货民事赔偿诉讼时，诉讼标的是同一种类，且当事人一方人数众多的，可以依法推选代表人进行诉讼。</w:t>
      </w:r>
    </w:p>
    <w:p w14:paraId="0A37914E">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国家设立期货交易者保障基金。期货交易者保障基金的筹集、管理和使用的具体办法，由国务院期货监督管理机构会同国务院财政部门制定。</w:t>
      </w:r>
    </w:p>
    <w:p w14:paraId="0ED76168">
      <w:pPr>
        <w:rPr>
          <w:rFonts w:ascii="Times New Roman" w:hAnsi="Times New Roman" w:eastAsia="宋体" w:cs="宋体"/>
          <w:szCs w:val="32"/>
        </w:rPr>
      </w:pPr>
    </w:p>
    <w:p w14:paraId="0DDD7B1C">
      <w:pPr>
        <w:jc w:val="center"/>
        <w:rPr>
          <w:rFonts w:ascii="Times New Roman" w:hAnsi="Times New Roman" w:eastAsia="黑体" w:cs="黑体"/>
          <w:szCs w:val="32"/>
        </w:rPr>
      </w:pPr>
      <w:bookmarkStart w:id="68" w:name="第五章 期货经营机构"/>
      <w:bookmarkEnd w:id="68"/>
      <w:r>
        <w:rPr>
          <w:rFonts w:hint="eastAsia" w:ascii="Times New Roman" w:hAnsi="Times New Roman" w:eastAsia="黑体" w:cs="黑体"/>
          <w:szCs w:val="32"/>
        </w:rPr>
        <w:t>第五章　期货经营机构</w:t>
      </w:r>
    </w:p>
    <w:p w14:paraId="6558D584">
      <w:pPr>
        <w:rPr>
          <w:rFonts w:ascii="Times New Roman" w:hAnsi="Times New Roman" w:eastAsia="宋体" w:cs="宋体"/>
          <w:szCs w:val="32"/>
        </w:rPr>
      </w:pPr>
    </w:p>
    <w:p w14:paraId="5C2F45AF">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期货经营机构是指依照《中华人民共和国公司法》和本法设立的期货公司以及国务院期货监督管理机构核准从事期货业务的其他机构。</w:t>
      </w:r>
    </w:p>
    <w:p w14:paraId="7DC816A3">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设立期货公司，应当具备下列条件，并经国务院期货监督管理机构核准：</w:t>
      </w:r>
    </w:p>
    <w:p w14:paraId="24DD1BD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（一）有符合法律、行政法规规定的公司章程；</w:t>
      </w:r>
    </w:p>
    <w:p w14:paraId="2A669C4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（二）主要股东及实际控制人具有良好的财务状况和诚信记录，净资产不低于国务院期货监督管理机构规定的标准，最近三年无重大违法违规记录；</w:t>
      </w:r>
    </w:p>
    <w:p w14:paraId="574D25C4">
      <w:pPr>
        <w:ind w:firstLine="632" w:firstLineChars="200"/>
        <w:rPr>
          <w:rFonts w:ascii="Times New Roman" w:hAnsi="Times New Roman" w:cs="仿宋_GB2312"/>
          <w:sz w:val="32"/>
          <w:szCs w:val="32"/>
        </w:rPr>
      </w:pPr>
      <w:r>
        <w:rPr>
          <w:rFonts w:hint="eastAsia" w:ascii="Times New Roman" w:hAnsi="Times New Roman" w:cs="仿宋_GB2312"/>
          <w:sz w:val="32"/>
          <w:szCs w:val="32"/>
        </w:rPr>
        <w:t>（三）注册资本不低于人民币一亿元，且应当为实缴货币资本；</w:t>
      </w:r>
    </w:p>
    <w:p w14:paraId="36CC74D4">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（四）从事期货业务的人员符合本法规定的条件，董事、监事和高级管理人员具备相应的任职条件；</w:t>
      </w:r>
    </w:p>
    <w:p w14:paraId="33FECF30">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（五）有良好的公司治理结构、健全的风险管理制度和完善的内部控制制度；</w:t>
      </w:r>
    </w:p>
    <w:p w14:paraId="50EB6973">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（六）有合格的经营场所、业务设施和信息技术系统；</w:t>
      </w:r>
    </w:p>
    <w:p w14:paraId="23C078D5">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（七）法律、行政法规和国务院期货监督管理机构规定的其他条件。</w:t>
      </w:r>
    </w:p>
    <w:p w14:paraId="40B4B342">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国务院期货监督管理机构根据审慎监管原则和各项业务的风险程度，可以提高注册资本最低限额。</w:t>
      </w:r>
    </w:p>
    <w:p w14:paraId="19582D2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国务院期货监督管理机构应当自受理期货公司设立申请之日起六个月内依照法定条件、法定程序和审慎监管原则进行审查，作出核准或者不予核准的决定，并通知申请人；不予核准的，应当说明理由。</w:t>
      </w:r>
    </w:p>
    <w:p w14:paraId="33834091">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期货公司应当在其名称中标明“期货”字样，国务院期货监督管理机构另有规定的除外。</w:t>
      </w:r>
    </w:p>
    <w:p w14:paraId="0E71FD6D">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期货公司办理下列事项，应当经国务院期货监督管理机构核准：</w:t>
      </w:r>
    </w:p>
    <w:p w14:paraId="0D5CF0FB">
      <w:pPr>
        <w:ind w:firstLine="632" w:firstLineChars="200"/>
        <w:rPr>
          <w:rFonts w:ascii="Times New Roman" w:hAnsi="Times New Roman" w:cs="仿宋_GB2312"/>
          <w:sz w:val="32"/>
          <w:szCs w:val="32"/>
        </w:rPr>
      </w:pPr>
      <w:r>
        <w:rPr>
          <w:rFonts w:hint="eastAsia" w:ascii="Times New Roman" w:hAnsi="Times New Roman" w:cs="仿宋_GB2312"/>
          <w:sz w:val="32"/>
          <w:szCs w:val="32"/>
        </w:rPr>
        <w:t>（一）合并、分立、停业、解散或者申请破产；</w:t>
      </w:r>
    </w:p>
    <w:p w14:paraId="46E396D6">
      <w:pPr>
        <w:ind w:firstLine="632" w:firstLineChars="200"/>
        <w:rPr>
          <w:rFonts w:ascii="Times New Roman" w:hAnsi="Times New Roman" w:cs="仿宋_GB2312"/>
          <w:sz w:val="32"/>
          <w:szCs w:val="32"/>
        </w:rPr>
      </w:pPr>
      <w:r>
        <w:rPr>
          <w:rFonts w:hint="eastAsia" w:ascii="Times New Roman" w:hAnsi="Times New Roman" w:cs="仿宋_GB2312"/>
          <w:sz w:val="32"/>
          <w:szCs w:val="32"/>
        </w:rPr>
        <w:t>（二）变更主要股东或者公司的实际控制人；</w:t>
      </w:r>
    </w:p>
    <w:p w14:paraId="13479D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（三）变更注册资本且调整股权结构；</w:t>
      </w:r>
    </w:p>
    <w:p w14:paraId="02BE6737">
      <w:pPr>
        <w:ind w:firstLine="632" w:firstLineChars="200"/>
        <w:rPr>
          <w:rFonts w:ascii="Times New Roman" w:hAnsi="Times New Roman" w:cs="仿宋_GB2312"/>
          <w:sz w:val="32"/>
          <w:szCs w:val="32"/>
        </w:rPr>
      </w:pPr>
      <w:r>
        <w:rPr>
          <w:rFonts w:hint="eastAsia" w:ascii="Times New Roman" w:hAnsi="Times New Roman" w:cs="仿宋_GB2312"/>
          <w:sz w:val="32"/>
          <w:szCs w:val="32"/>
        </w:rPr>
        <w:t>（四）变更业务范围；</w:t>
      </w:r>
    </w:p>
    <w:p w14:paraId="2BE211BC">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（五）国务院期货监督管理机构规定的其他重大事项。</w:t>
      </w:r>
    </w:p>
    <w:p w14:paraId="0B9F910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三项、第五项所列事项，国务院期货监督管理机构应当自受理申请之日起二十日内作出核准或者不予核准的决定；前款所列其他事项，国务院期货监督管理机构应当自受理申请之日起六十日内作出核准或者不予核准的决定。</w:t>
      </w:r>
    </w:p>
    <w:p w14:paraId="6DABAB55">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期货公司经国务院期货监督管理机构核准可以从事下列期货业务：</w:t>
      </w:r>
    </w:p>
    <w:p w14:paraId="12D4A79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（一）期货经纪；</w:t>
      </w:r>
    </w:p>
    <w:p w14:paraId="726B2E7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（二）期货交易咨询；</w:t>
      </w:r>
    </w:p>
    <w:p w14:paraId="0B9C0D0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（三）期货做市交易；</w:t>
      </w:r>
    </w:p>
    <w:p w14:paraId="5D0CC365">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（四）其他期货业务。</w:t>
      </w:r>
    </w:p>
    <w:p w14:paraId="435E3B7C">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期货公司从事资产管理业务的，应当符合《中华人民共和国证券投资基金法》等法律、行政法规的规定。</w:t>
      </w:r>
    </w:p>
    <w:p w14:paraId="487A6B53">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国务院期货监督管理机构核准，任何单位和个人不得设立或者变相设立期货公司，经营或者变相经营期货经纪业务、期货交易咨询业务，也不得以经营为目的使用“期货”、“期权”或者其他可能产生混淆或者误导的名称。</w:t>
      </w:r>
    </w:p>
    <w:p w14:paraId="50073F96">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期货公司的董事、监事、高级管理人员，应当正直诚实、品行良好，熟悉期货法律、行政法规，具有履行职责所需的经营管理能力。期货公司任免董事、监事、高级管理人员，应当报国务院期货监督管理机构备案。</w:t>
      </w:r>
    </w:p>
    <w:p w14:paraId="163AF22E">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有下列情形之一的，不得担任期货公司的董事、监事、高级管理人员：</w:t>
      </w:r>
    </w:p>
    <w:p w14:paraId="72300556">
      <w:pPr>
        <w:ind w:firstLine="632" w:firstLineChars="200"/>
        <w:rPr>
          <w:rFonts w:ascii="Times New Roman" w:hAnsi="Times New Roman" w:cs="仿宋_GB2312"/>
          <w:sz w:val="32"/>
          <w:szCs w:val="32"/>
        </w:rPr>
      </w:pPr>
      <w:r>
        <w:rPr>
          <w:rFonts w:hint="eastAsia" w:ascii="Times New Roman" w:hAnsi="Times New Roman" w:cs="仿宋_GB2312"/>
          <w:sz w:val="32"/>
          <w:szCs w:val="32"/>
        </w:rPr>
        <w:t>（一）存在《中华人民共和国公司法》规定的不得担任公司董事、监事和高级管理人员的情形；</w:t>
      </w:r>
    </w:p>
    <w:p w14:paraId="158697C4">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（二）因违法行为或者违纪行为被解除职务的期货经营机构的董事、监事、高级管理人员，或者期货交易场所、期货结算机构的负责人，自被解除职务之日起未逾五年；</w:t>
      </w:r>
    </w:p>
    <w:p w14:paraId="47634D8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（三）因违法行为或者违纪行为被吊销执业证书或者被取消资格的注册会计师、律师或者其他期货服务机构的专业人员，自被吊销执业证书或者被取消资格之日起未逾五年。</w:t>
      </w:r>
    </w:p>
    <w:p w14:paraId="7A2E3569">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期货经营机构应当依法经营，勤勉尽责，诚实守信。期货经营机构应当建立健全内部控制制度，采取有效隔离措施，防范经营机构与客户之间、不同客户之间的利益冲突。</w:t>
      </w:r>
    </w:p>
    <w:p w14:paraId="07E3B09B">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期货经营机构应当将其期货经纪业务、期货做市交易业务、资产管理业务和其他相关业务分开办理，不得混合操作。</w:t>
      </w:r>
    </w:p>
    <w:p w14:paraId="3A199675">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期货经营机构应当依法建立并执行反洗钱制度。</w:t>
      </w:r>
    </w:p>
    <w:p w14:paraId="515C6C74">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期货经营机构接受交易者委托为其进行期货交易，应当签订书面委托合同，以自己的名义为交易者进行期货交易，交易结果由交易者承担。</w:t>
      </w:r>
    </w:p>
    <w:p w14:paraId="04DD57A8">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期货经营机构从事经纪业务，不得接受交易者的全权委托。</w:t>
      </w:r>
    </w:p>
    <w:p w14:paraId="25CA1E64">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期货经营机构从事资产管理业务，接受客户委托，运用客户资产进行投资的，应当公平对待所管理的不同客户资产，不得违背受托义务。</w:t>
      </w:r>
    </w:p>
    <w:p w14:paraId="574728DA">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期货经营机构不得违反规定为其股东、实际控制人或者股东、实际控制人的关联人提供融资或者担保，不得违反规定对外担保。</w:t>
      </w:r>
    </w:p>
    <w:p w14:paraId="451F92EC">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期货经营机构从事期货业务的人员应当正直诚实、品行良好，具备从事期货业务所需的专业能力。</w:t>
      </w:r>
    </w:p>
    <w:p w14:paraId="7F1F7BCF">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期货经营机构从事期货业务的人员不得私下接受客户委托从事期货交易。</w:t>
      </w:r>
    </w:p>
    <w:p w14:paraId="0A25EEDF">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期货经营机构从事期货业务的人员在从事期货业务活动中，执行所属的期货经营机构的指令或者利用职务违反期货交易规则的，由所属的期货经营机构承担全部责任。</w:t>
      </w:r>
    </w:p>
    <w:p w14:paraId="2D859E21">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国务院期货监督管理机构应当制定期货经营机构持续性经营规则，对期货经营机构及其分支机构的经营条件、风险管理、内部控制、保证金存管、合规管理、风险监管指标、关联交易等方面作出规定。期货经营机构应当符合持续性经营规则。</w:t>
      </w:r>
    </w:p>
    <w:p w14:paraId="7C1E19B7">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期货经营机构应当按照规定向国务院期货监督管理机构报送业务、财务等经营管理信息和资料。国务院期货监督管理机构有权要求期货经营机构及其主要股东、实际控制人、其他关联人在指定的期限内提供有关信息、资料。</w:t>
      </w:r>
    </w:p>
    <w:p w14:paraId="7985E62E">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期货经营机构及其主要股东、实际控制人或者其他关联人向国务院期货监督管理机构报送或者提供的信息、资料，应当真实、准确、完整。</w:t>
      </w:r>
    </w:p>
    <w:p w14:paraId="706EAD0A">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期货经营机构涉及重大诉讼、仲裁，股权被冻结或者用于担保，以及发生其他重大事件时，应当自该事件发生之日起五日内向国务院期货监督管理机构提交书面报告。</w:t>
      </w:r>
    </w:p>
    <w:p w14:paraId="52A9A351">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期货经营机构的控股股东或者实际控制人应当配合期货经营机构履行前款规定的义务。</w:t>
      </w:r>
    </w:p>
    <w:p w14:paraId="1EC44165">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期货经营机构不符合持续性经营规则或者出现经营风险的，国务院期货监督管理机构应当责令其限期改正；期货经营机构逾期未改正的，或者其行为严重危及该期货经营机构的稳健运行、损害交易者合法权益的，或者涉嫌严重违法违规正在被国务院期货监督管理机构调查的，国务院期货监督管理机构可以区别情形，对其采取下列措施：</w:t>
      </w:r>
    </w:p>
    <w:p w14:paraId="3F560F42">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（一）限制或者暂停部分业务；</w:t>
      </w:r>
    </w:p>
    <w:p w14:paraId="1824CAF2">
      <w:pPr>
        <w:ind w:firstLine="632" w:firstLineChars="200"/>
        <w:rPr>
          <w:rFonts w:ascii="Times New Roman" w:hAnsi="Times New Roman" w:cs="仿宋_GB2312"/>
          <w:sz w:val="32"/>
          <w:szCs w:val="32"/>
        </w:rPr>
      </w:pPr>
      <w:r>
        <w:rPr>
          <w:rFonts w:hint="eastAsia" w:ascii="Times New Roman" w:hAnsi="Times New Roman" w:cs="仿宋_GB2312"/>
          <w:sz w:val="32"/>
          <w:szCs w:val="32"/>
        </w:rPr>
        <w:t>（二）停止核准新增业务；</w:t>
      </w:r>
    </w:p>
    <w:p w14:paraId="1CD045B7">
      <w:pPr>
        <w:ind w:firstLine="632" w:firstLineChars="200"/>
        <w:rPr>
          <w:rFonts w:ascii="Times New Roman" w:hAnsi="Times New Roman" w:cs="仿宋_GB2312"/>
          <w:sz w:val="32"/>
          <w:szCs w:val="32"/>
        </w:rPr>
      </w:pPr>
      <w:r>
        <w:rPr>
          <w:rFonts w:hint="eastAsia" w:ascii="Times New Roman" w:hAnsi="Times New Roman" w:cs="仿宋_GB2312"/>
          <w:sz w:val="32"/>
          <w:szCs w:val="32"/>
        </w:rPr>
        <w:t>（三）限制分配红利，限制向董事、监事、高级管理人员支付报酬、提供福利；</w:t>
      </w:r>
    </w:p>
    <w:p w14:paraId="451036DF">
      <w:pPr>
        <w:ind w:firstLine="632" w:firstLineChars="200"/>
        <w:rPr>
          <w:rFonts w:ascii="Times New Roman" w:hAnsi="Times New Roman" w:cs="仿宋_GB2312"/>
          <w:sz w:val="32"/>
          <w:szCs w:val="32"/>
        </w:rPr>
      </w:pPr>
      <w:r>
        <w:rPr>
          <w:rFonts w:hint="eastAsia" w:ascii="Times New Roman" w:hAnsi="Times New Roman" w:cs="仿宋_GB2312"/>
          <w:sz w:val="32"/>
          <w:szCs w:val="32"/>
        </w:rPr>
        <w:t>（四）限制转让财产或者在财产上设定其他权利；</w:t>
      </w:r>
    </w:p>
    <w:p w14:paraId="3CE76493">
      <w:pPr>
        <w:ind w:firstLine="632" w:firstLineChars="200"/>
        <w:rPr>
          <w:rFonts w:ascii="Times New Roman" w:hAnsi="Times New Roman" w:cs="仿宋_GB2312"/>
          <w:sz w:val="32"/>
          <w:szCs w:val="32"/>
        </w:rPr>
      </w:pPr>
      <w:r>
        <w:rPr>
          <w:rFonts w:hint="eastAsia" w:ascii="Times New Roman" w:hAnsi="Times New Roman" w:cs="仿宋_GB2312"/>
          <w:sz w:val="32"/>
          <w:szCs w:val="32"/>
        </w:rPr>
        <w:t>（五）责令更换董事、监事、高级管理人员或者有关业务部门、分支机构的负责人员，或者限制其权利；</w:t>
      </w:r>
    </w:p>
    <w:p w14:paraId="0D92C3BF">
      <w:pPr>
        <w:ind w:firstLine="632" w:firstLineChars="200"/>
        <w:rPr>
          <w:rFonts w:ascii="Times New Roman" w:hAnsi="Times New Roman" w:cs="仿宋_GB2312"/>
          <w:sz w:val="32"/>
          <w:szCs w:val="32"/>
        </w:rPr>
      </w:pPr>
      <w:r>
        <w:rPr>
          <w:rFonts w:hint="eastAsia" w:ascii="Times New Roman" w:hAnsi="Times New Roman" w:cs="仿宋_GB2312"/>
          <w:sz w:val="32"/>
          <w:szCs w:val="32"/>
        </w:rPr>
        <w:t>（六）限制期货经营机构自有资金或者风险准备金的调拨和使用；</w:t>
      </w:r>
    </w:p>
    <w:p w14:paraId="1E516694">
      <w:pPr>
        <w:ind w:firstLine="632" w:firstLineChars="200"/>
        <w:rPr>
          <w:rFonts w:ascii="Times New Roman" w:hAnsi="Times New Roman" w:cs="仿宋_GB2312"/>
          <w:sz w:val="32"/>
          <w:szCs w:val="32"/>
        </w:rPr>
      </w:pPr>
      <w:r>
        <w:rPr>
          <w:rFonts w:hint="eastAsia" w:ascii="Times New Roman" w:hAnsi="Times New Roman" w:cs="仿宋_GB2312"/>
          <w:sz w:val="32"/>
          <w:szCs w:val="32"/>
        </w:rPr>
        <w:t>（七）认定负有责任的董事、监事、高级管理人员为不适当人选；</w:t>
      </w:r>
    </w:p>
    <w:p w14:paraId="7FA1BEE9">
      <w:pPr>
        <w:ind w:firstLine="632" w:firstLineChars="200"/>
        <w:rPr>
          <w:rFonts w:ascii="Times New Roman" w:hAnsi="Times New Roman" w:cs="仿宋_GB2312"/>
          <w:sz w:val="32"/>
          <w:szCs w:val="32"/>
        </w:rPr>
      </w:pPr>
      <w:r>
        <w:rPr>
          <w:rFonts w:hint="eastAsia" w:ascii="Times New Roman" w:hAnsi="Times New Roman" w:cs="仿宋_GB2312"/>
          <w:sz w:val="32"/>
          <w:szCs w:val="32"/>
        </w:rPr>
        <w:t>（八）责令负有责任的股东转让股权，限制负有责任的股东行使股东权利。</w:t>
      </w:r>
    </w:p>
    <w:p w14:paraId="222D9394">
      <w:pPr>
        <w:ind w:firstLine="632" w:firstLineChars="200"/>
        <w:rPr>
          <w:rFonts w:ascii="Times New Roman" w:hAnsi="Times New Roman" w:cs="仿宋_GB2312"/>
          <w:sz w:val="32"/>
          <w:szCs w:val="32"/>
        </w:rPr>
      </w:pPr>
      <w:r>
        <w:rPr>
          <w:rFonts w:hint="eastAsia" w:ascii="Times New Roman" w:hAnsi="Times New Roman" w:cs="仿宋_GB2312"/>
          <w:sz w:val="32"/>
          <w:szCs w:val="32"/>
        </w:rPr>
        <w:t>对经过整改符合有关法律、行政法规规定以及持续性经营规则要求的期货经营机构，国务院期货监督管理机构应当自验收完毕之日起三日内解除对其采取的有关措施。</w:t>
      </w:r>
    </w:p>
    <w:p w14:paraId="14588228">
      <w:pPr>
        <w:ind w:firstLine="632" w:firstLineChars="200"/>
        <w:rPr>
          <w:rFonts w:ascii="Times New Roman" w:hAnsi="Times New Roman" w:cs="仿宋_GB2312"/>
          <w:sz w:val="32"/>
          <w:szCs w:val="32"/>
        </w:rPr>
      </w:pPr>
      <w:r>
        <w:rPr>
          <w:rFonts w:hint="eastAsia" w:ascii="Times New Roman" w:hAnsi="Times New Roman" w:cs="仿宋_GB2312"/>
          <w:sz w:val="32"/>
          <w:szCs w:val="32"/>
        </w:rPr>
        <w:t>对经过整改仍未达到持续性经营规则要求，严重影响正常经营的期货经营机构，国务院期货监督管理机构有权撤销其部分或者全部期货业务许可、关闭其部分或者全部分支机构。</w:t>
      </w:r>
    </w:p>
    <w:p w14:paraId="27B1C5DB">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期货经营机构违法经营或者出现重大风险，严重危害期货市场秩序、损害交易者利益的，国务院期货监督管理机构可以对该期货经营机构采取责令停业整顿、指定其他机构托管或者接管等监督管理措施。</w:t>
      </w:r>
    </w:p>
    <w:p w14:paraId="140BEF60">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期货经营机构有前款所列情形，经国务院期货监督管理机构批准，可以对该期货经营机构直接负责的董事、监事、高级管理人员和其他直接责任人员采取以下措施：</w:t>
      </w:r>
    </w:p>
    <w:p w14:paraId="11E4A5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（一）决定并通知出境入境管理机关依法阻止其出境；</w:t>
      </w:r>
    </w:p>
    <w:p w14:paraId="5CB3C820">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（二）申请司法机关禁止其转移、转让或者以其他方式处分财产，或者在财产上设定其他权利。</w:t>
      </w:r>
    </w:p>
    <w:p w14:paraId="769A3752">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期货经营机构的股东有虚假出资、抽逃出资行为的，国务院期货监督管理机构应当责令其限期改正，并可责令其转让所持期货经营机构的股权。</w:t>
      </w:r>
    </w:p>
    <w:p w14:paraId="749C2760">
      <w:pPr>
        <w:ind w:firstLine="632" w:firstLineChars="200"/>
        <w:rPr>
          <w:rFonts w:ascii="Times New Roman" w:hAnsi="Times New Roman" w:cs="仿宋_GB2312"/>
          <w:sz w:val="32"/>
          <w:szCs w:val="32"/>
        </w:rPr>
      </w:pPr>
      <w:r>
        <w:rPr>
          <w:rFonts w:hint="eastAsia" w:ascii="Times New Roman" w:hAnsi="Times New Roman" w:cs="仿宋_GB2312"/>
          <w:sz w:val="32"/>
          <w:szCs w:val="32"/>
        </w:rPr>
        <w:t>在股东依照前款规定的要求改正违法行为、转让所持期货经营机构的股权前，国务院期货监督管理机构可以限制其股东权利。</w:t>
      </w:r>
    </w:p>
    <w:p w14:paraId="52DBFB6C">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期货经营机构有下列情形之一的，国务院期货监督管理机构应当依法办理相关业务许可证注销手续：</w:t>
      </w:r>
    </w:p>
    <w:p w14:paraId="7E9F9D92">
      <w:pPr>
        <w:ind w:firstLine="632" w:firstLineChars="200"/>
        <w:rPr>
          <w:rFonts w:ascii="Times New Roman" w:hAnsi="Times New Roman" w:cs="仿宋_GB2312"/>
          <w:sz w:val="32"/>
          <w:szCs w:val="32"/>
        </w:rPr>
      </w:pPr>
      <w:r>
        <w:rPr>
          <w:rFonts w:hint="eastAsia" w:ascii="Times New Roman" w:hAnsi="Times New Roman" w:cs="仿宋_GB2312"/>
          <w:sz w:val="32"/>
          <w:szCs w:val="32"/>
        </w:rPr>
        <w:t>（一）营业执照被依法吊销；</w:t>
      </w:r>
    </w:p>
    <w:p w14:paraId="29A36F13">
      <w:pPr>
        <w:ind w:firstLine="632" w:firstLineChars="200"/>
        <w:rPr>
          <w:rFonts w:ascii="Times New Roman" w:hAnsi="Times New Roman" w:cs="仿宋_GB2312"/>
          <w:sz w:val="32"/>
          <w:szCs w:val="32"/>
        </w:rPr>
      </w:pPr>
      <w:r>
        <w:rPr>
          <w:rFonts w:hint="eastAsia" w:ascii="Times New Roman" w:hAnsi="Times New Roman" w:cs="仿宋_GB2312"/>
          <w:sz w:val="32"/>
          <w:szCs w:val="32"/>
        </w:rPr>
        <w:t>（二）成立后无正当理由超过三个月未开始营业，或者开业后无正当理由停业连续三个月以上；</w:t>
      </w:r>
    </w:p>
    <w:p w14:paraId="06407EE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（三）主动提出注销申请；</w:t>
      </w:r>
    </w:p>
    <w:p w14:paraId="787C73D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（四）《中华人民共和国行政许可法》和国务院期货监督管理机构规定应当注销行政许可的其他情形。</w:t>
      </w:r>
    </w:p>
    <w:p w14:paraId="4454DFE3">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期货经营机构在注销相关业务许可证前，应当结清相关期货业务，并依法返还交易者的保证金和其他资产。</w:t>
      </w:r>
    </w:p>
    <w:p w14:paraId="2C250B2A">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国务院期货监督管理机构认为必要时，可以委托期货服务机构对期货经营机构的财务状况、内部控制状况、资产价值进行审计或者评估。具体办法由国务院期货监督管理机构会同有关主管部门制定。</w:t>
      </w:r>
    </w:p>
    <w:p w14:paraId="64BC2474">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禁止期货经营机构从事下列损害交易者利益的行为：</w:t>
      </w:r>
    </w:p>
    <w:p w14:paraId="6F6859C8">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（一）向交易者作出保证其资产本金不受损失或者取得最低收益承诺；</w:t>
      </w:r>
    </w:p>
    <w:p w14:paraId="29C8E15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（二）与交易者约定分享利益、共担风险；</w:t>
      </w:r>
    </w:p>
    <w:p w14:paraId="64762B0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（三）违背交易者委托进行期货交易；</w:t>
      </w:r>
    </w:p>
    <w:p w14:paraId="66E9DAE0">
      <w:pPr>
        <w:ind w:firstLine="632" w:firstLineChars="200"/>
        <w:rPr>
          <w:rFonts w:ascii="Times New Roman" w:hAnsi="Times New Roman" w:cs="仿宋_GB2312"/>
          <w:sz w:val="32"/>
          <w:szCs w:val="32"/>
        </w:rPr>
      </w:pPr>
      <w:r>
        <w:rPr>
          <w:rFonts w:hint="eastAsia" w:ascii="Times New Roman" w:hAnsi="Times New Roman" w:cs="仿宋_GB2312"/>
          <w:sz w:val="32"/>
          <w:szCs w:val="32"/>
        </w:rPr>
        <w:t>（四）隐瞒重要事项或者使用其他不正当手段，诱骗交易者交易；</w:t>
      </w:r>
    </w:p>
    <w:p w14:paraId="60DBFEBF">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（五）以虚假或者不确定的重大信息为依据向交易者提供交易建议；</w:t>
      </w:r>
    </w:p>
    <w:p w14:paraId="673459CF">
      <w:pPr>
        <w:ind w:firstLine="632" w:firstLineChars="200"/>
        <w:rPr>
          <w:rFonts w:ascii="Times New Roman" w:hAnsi="Times New Roman" w:cs="仿宋_GB2312"/>
          <w:sz w:val="32"/>
          <w:szCs w:val="32"/>
        </w:rPr>
      </w:pPr>
      <w:r>
        <w:rPr>
          <w:rFonts w:hint="eastAsia" w:ascii="Times New Roman" w:hAnsi="Times New Roman" w:cs="仿宋_GB2312"/>
          <w:sz w:val="32"/>
          <w:szCs w:val="32"/>
        </w:rPr>
        <w:t>（六）向交易者提供虚假成交回报；</w:t>
      </w:r>
    </w:p>
    <w:p w14:paraId="536E6032">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（七）未将交易者交易指令下达到期货交易场所；</w:t>
      </w:r>
    </w:p>
    <w:p w14:paraId="565C2944">
      <w:pPr>
        <w:ind w:firstLine="632" w:firstLineChars="200"/>
        <w:rPr>
          <w:rFonts w:ascii="Times New Roman" w:hAnsi="Times New Roman" w:cs="仿宋_GB2312"/>
          <w:sz w:val="32"/>
          <w:szCs w:val="32"/>
        </w:rPr>
      </w:pPr>
      <w:r>
        <w:rPr>
          <w:rFonts w:hint="eastAsia" w:ascii="Times New Roman" w:hAnsi="Times New Roman" w:cs="仿宋_GB2312"/>
          <w:sz w:val="32"/>
          <w:szCs w:val="32"/>
        </w:rPr>
        <w:t>（八）挪用交易者保证金；</w:t>
      </w:r>
    </w:p>
    <w:p w14:paraId="044F7C18">
      <w:pPr>
        <w:ind w:firstLine="632" w:firstLineChars="200"/>
        <w:rPr>
          <w:rFonts w:ascii="Times New Roman" w:hAnsi="Times New Roman" w:cs="仿宋_GB2312"/>
          <w:sz w:val="32"/>
          <w:szCs w:val="32"/>
        </w:rPr>
      </w:pPr>
      <w:r>
        <w:rPr>
          <w:rFonts w:hint="eastAsia" w:ascii="Times New Roman" w:hAnsi="Times New Roman" w:cs="仿宋_GB2312"/>
          <w:sz w:val="32"/>
          <w:szCs w:val="32"/>
        </w:rPr>
        <w:t>（九）未依照规定在期货保证金存管机构开立保证金账户，或者违规划转交易者保证金；</w:t>
      </w:r>
    </w:p>
    <w:p w14:paraId="6577F832">
      <w:pPr>
        <w:ind w:firstLine="632" w:firstLineChars="200"/>
        <w:rPr>
          <w:rFonts w:ascii="Times New Roman" w:hAnsi="Times New Roman" w:cs="仿宋_GB2312"/>
          <w:sz w:val="32"/>
          <w:szCs w:val="32"/>
        </w:rPr>
      </w:pPr>
      <w:r>
        <w:rPr>
          <w:rFonts w:hint="eastAsia" w:ascii="Times New Roman" w:hAnsi="Times New Roman" w:cs="仿宋_GB2312"/>
          <w:sz w:val="32"/>
          <w:szCs w:val="32"/>
        </w:rPr>
        <w:t>（十）利用为交易者提供服务的便利，获取不正当利益或者转嫁风险；</w:t>
      </w:r>
    </w:p>
    <w:p w14:paraId="06365F5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（十一）其他损害交易者权益的行为。</w:t>
      </w:r>
    </w:p>
    <w:p w14:paraId="6CB2037A">
      <w:pPr>
        <w:rPr>
          <w:rFonts w:ascii="Times New Roman" w:hAnsi="Times New Roman" w:eastAsia="宋体" w:cs="宋体"/>
          <w:szCs w:val="32"/>
        </w:rPr>
      </w:pPr>
    </w:p>
    <w:p w14:paraId="67FE2160">
      <w:pPr>
        <w:jc w:val="center"/>
        <w:rPr>
          <w:rFonts w:ascii="Times New Roman" w:hAnsi="Times New Roman" w:eastAsia="黑体" w:cs="黑体"/>
          <w:szCs w:val="32"/>
        </w:rPr>
      </w:pPr>
      <w:bookmarkStart w:id="89" w:name="第六章 期货交易场所"/>
      <w:bookmarkEnd w:id="89"/>
      <w:r>
        <w:rPr>
          <w:rFonts w:hint="eastAsia" w:ascii="Times New Roman" w:hAnsi="Times New Roman" w:eastAsia="黑体" w:cs="黑体"/>
          <w:szCs w:val="32"/>
        </w:rPr>
        <w:t>第六章　期货交易场所</w:t>
      </w:r>
    </w:p>
    <w:p w14:paraId="5BB592EA">
      <w:pPr>
        <w:rPr>
          <w:rFonts w:ascii="Times New Roman" w:hAnsi="Times New Roman" w:eastAsia="宋体" w:cs="宋体"/>
          <w:szCs w:val="32"/>
        </w:rPr>
      </w:pPr>
    </w:p>
    <w:p w14:paraId="45D0EF2E">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期货交易场所应当遵循社会公共利益优先原则，为期货交易提供场所和设施，组织和监督期货交易，维护市场的公平、有序和透明，实行自律管理。</w:t>
      </w:r>
    </w:p>
    <w:p w14:paraId="6C9C6A7A">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设立、变更和解散期货交易所，应当由国务院期货监督管理机构批准。</w:t>
      </w:r>
    </w:p>
    <w:p w14:paraId="05F4DEB8">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设立期货交易所应当制定章程。期货交易所章程的制定和修改，应当经国务院期货监督管理机构批准。</w:t>
      </w:r>
    </w:p>
    <w:p w14:paraId="5B8D6DA4">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期货交易所应当在其名称中标明“商品交易所”或者“期货交易所”等字样。其他任何单位或者个人不得使用期货交易所或者其他可能产生混淆或者误导的名称。</w:t>
      </w:r>
    </w:p>
    <w:p w14:paraId="71B49801">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期货交易所可以采取会员制或者公司制的组织形式。</w:t>
      </w:r>
    </w:p>
    <w:p w14:paraId="5C7C4CD7">
      <w:pPr>
        <w:ind w:firstLine="632" w:firstLineChars="200"/>
        <w:rPr>
          <w:rFonts w:ascii="Times New Roman" w:hAnsi="Times New Roman" w:cs="仿宋_GB2312"/>
          <w:sz w:val="32"/>
          <w:szCs w:val="32"/>
        </w:rPr>
      </w:pPr>
      <w:r>
        <w:rPr>
          <w:rFonts w:hint="eastAsia" w:ascii="Times New Roman" w:hAnsi="Times New Roman" w:cs="仿宋_GB2312"/>
          <w:sz w:val="32"/>
          <w:szCs w:val="32"/>
        </w:rPr>
        <w:t>会员制期货交易所的组织机构由其章程规定。</w:t>
      </w:r>
    </w:p>
    <w:p w14:paraId="7D272022">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期货交易所依照法律、行政法规和国务院期货监督管理机构的规定，制定有关业务规则；其中交易规则的制定和修改应当报国务院期货监督管理机构批准。</w:t>
      </w:r>
    </w:p>
    <w:p w14:paraId="329A57B8">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期货交易所业务规则应当体现公平保护会员、交易者等市场相关各方合法权益的原则。</w:t>
      </w:r>
    </w:p>
    <w:p w14:paraId="38DA0F0E">
      <w:pPr>
        <w:ind w:firstLine="632" w:firstLineChars="200"/>
        <w:rPr>
          <w:rFonts w:ascii="Times New Roman" w:hAnsi="Times New Roman" w:cs="仿宋_GB2312"/>
          <w:sz w:val="32"/>
          <w:szCs w:val="32"/>
        </w:rPr>
      </w:pPr>
      <w:r>
        <w:rPr>
          <w:rFonts w:hint="eastAsia" w:ascii="Times New Roman" w:hAnsi="Times New Roman" w:cs="仿宋_GB2312"/>
          <w:sz w:val="32"/>
          <w:szCs w:val="32"/>
        </w:rPr>
        <w:t>在期货交易所从事期货交易及相关活动，应当遵守期货交易所依法制定的业务规则。违反业务规则的，由期货交易所给予纪律处分或者采取其他自律管理措施。</w:t>
      </w:r>
    </w:p>
    <w:p w14:paraId="72D45E79">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期货交易所的负责人由国务院期货监督管理机构提名或者任免。</w:t>
      </w:r>
    </w:p>
    <w:p w14:paraId="4F9CDC7D">
      <w:pPr>
        <w:ind w:firstLine="632" w:firstLineChars="200"/>
        <w:rPr>
          <w:rFonts w:ascii="Times New Roman" w:hAnsi="Times New Roman" w:cs="仿宋_GB2312"/>
          <w:sz w:val="32"/>
          <w:szCs w:val="32"/>
        </w:rPr>
      </w:pPr>
      <w:r>
        <w:rPr>
          <w:rFonts w:hint="eastAsia" w:ascii="Times New Roman" w:hAnsi="Times New Roman" w:cs="仿宋_GB2312"/>
          <w:sz w:val="32"/>
          <w:szCs w:val="32"/>
        </w:rPr>
        <w:t>有《中华人民共和国公司法》规定的不适合担任公司董事、监事、高级管理人员的情形或者下列情形之一的，不得担任期货交易所的负责人：</w:t>
      </w:r>
    </w:p>
    <w:p w14:paraId="464C799B">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（一）因违法行为或者违纪行为被解除职务的期货经营机构的董事、监事、高级管理人员，或者期货交易场所、期货结算机构的负责人，自被解除职务之日起未逾五年；</w:t>
      </w:r>
    </w:p>
    <w:p w14:paraId="26045E34">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（二）因违法行为或者违纪行为被吊销执业证书或者被取消资格的注册会计师、律师或者其他期货服务机构的专业人员，自被吊销执业证书或者被取消资格之日起未逾五年。</w:t>
      </w:r>
    </w:p>
    <w:p w14:paraId="16EF859E">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期货交易场所应当依照本法和国务院期货监督管理机构的规定，加强对交易活动的风险控制和对会员以及交易场所工作人员的监督管理，依法履行下列职责：</w:t>
      </w:r>
    </w:p>
    <w:p w14:paraId="6B914053">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（一）提供交易的场所、设施和服务；</w:t>
      </w:r>
    </w:p>
    <w:p w14:paraId="45149591">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（二）设计期货合约、标准化期权合约品种，安排期货合约、标准化期权合约品种上市；</w:t>
      </w:r>
    </w:p>
    <w:p w14:paraId="3278B7D0">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（三）对期货交易进行实时监控和风险监测；</w:t>
      </w:r>
    </w:p>
    <w:p w14:paraId="5BDD2450">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（四）依照章程和业务规则对会员、交易者、期货服务机构等进行自律管理；</w:t>
      </w:r>
    </w:p>
    <w:p w14:paraId="2961BC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（五）开展交易者教育和市场培育工作；</w:t>
      </w:r>
    </w:p>
    <w:p w14:paraId="2CAE97C2">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（六）国务院期货监督管理机构规定的其他职责。</w:t>
      </w:r>
    </w:p>
    <w:p w14:paraId="0B8FCA3F">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期货交易场所不得直接或者间接参与期货交易。未经国务院批准，期货交易场所不得从事信托投资、股票投资、非自用不动产投资等与其职责无关的业务。</w:t>
      </w:r>
    </w:p>
    <w:p w14:paraId="124259B5">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期货交易所的所得收益按照国家有关规定管理和使用，应当首先用于保证期货交易的场所、设施的运行和改善。</w:t>
      </w:r>
    </w:p>
    <w:p w14:paraId="006061E2">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期货交易场所应当加强对期货交易的风险监测，出现异常情况的，期货交易场所可以依照业务规则，单独或者会同期货结算机构采取下列紧急措施，并立即报告国务院期货监督管理机构：</w:t>
      </w:r>
    </w:p>
    <w:p w14:paraId="4062CEF7">
      <w:pPr>
        <w:ind w:firstLine="632" w:firstLineChars="200"/>
        <w:rPr>
          <w:rFonts w:ascii="Times New Roman" w:hAnsi="Times New Roman" w:cs="仿宋_GB2312"/>
          <w:sz w:val="32"/>
          <w:szCs w:val="32"/>
        </w:rPr>
      </w:pPr>
      <w:r>
        <w:rPr>
          <w:rFonts w:hint="eastAsia" w:ascii="Times New Roman" w:hAnsi="Times New Roman" w:cs="仿宋_GB2312"/>
          <w:sz w:val="32"/>
          <w:szCs w:val="32"/>
        </w:rPr>
        <w:t>（一）调整保证金；</w:t>
      </w:r>
    </w:p>
    <w:p w14:paraId="261DE721">
      <w:pPr>
        <w:ind w:firstLine="632" w:firstLineChars="200"/>
        <w:rPr>
          <w:rFonts w:ascii="Times New Roman" w:hAnsi="Times New Roman" w:cs="仿宋_GB2312"/>
          <w:sz w:val="32"/>
          <w:szCs w:val="32"/>
        </w:rPr>
      </w:pPr>
      <w:r>
        <w:rPr>
          <w:rFonts w:hint="eastAsia" w:ascii="Times New Roman" w:hAnsi="Times New Roman" w:cs="仿宋_GB2312"/>
          <w:sz w:val="32"/>
          <w:szCs w:val="32"/>
        </w:rPr>
        <w:t>（二）调整涨跌停板幅度；</w:t>
      </w:r>
    </w:p>
    <w:p w14:paraId="422F30F7">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（三）调整会员、交易者的交易限额或持仓限额标准；</w:t>
      </w:r>
    </w:p>
    <w:p w14:paraId="64C3359A">
      <w:pPr>
        <w:ind w:firstLine="632" w:firstLineChars="200"/>
        <w:rPr>
          <w:rFonts w:ascii="Times New Roman" w:hAnsi="Times New Roman" w:cs="仿宋_GB2312"/>
          <w:sz w:val="32"/>
          <w:szCs w:val="32"/>
        </w:rPr>
      </w:pPr>
      <w:r>
        <w:rPr>
          <w:rFonts w:hint="eastAsia" w:ascii="Times New Roman" w:hAnsi="Times New Roman" w:cs="仿宋_GB2312"/>
          <w:sz w:val="32"/>
          <w:szCs w:val="32"/>
        </w:rPr>
        <w:t>（四）限制开仓；</w:t>
      </w:r>
    </w:p>
    <w:p w14:paraId="46C8A3DC">
      <w:pPr>
        <w:ind w:firstLine="632" w:firstLineChars="200"/>
        <w:rPr>
          <w:rFonts w:ascii="Times New Roman" w:hAnsi="Times New Roman" w:cs="仿宋_GB2312"/>
          <w:sz w:val="32"/>
          <w:szCs w:val="32"/>
        </w:rPr>
      </w:pPr>
      <w:r>
        <w:rPr>
          <w:rFonts w:hint="eastAsia" w:ascii="Times New Roman" w:hAnsi="Times New Roman" w:cs="仿宋_GB2312"/>
          <w:sz w:val="32"/>
          <w:szCs w:val="32"/>
        </w:rPr>
        <w:t>（五）强行平仓；</w:t>
      </w:r>
    </w:p>
    <w:p w14:paraId="6BFCEE31">
      <w:pPr>
        <w:ind w:firstLine="632" w:firstLineChars="200"/>
        <w:rPr>
          <w:rFonts w:ascii="Times New Roman" w:hAnsi="Times New Roman" w:cs="仿宋_GB2312"/>
          <w:sz w:val="32"/>
          <w:szCs w:val="32"/>
        </w:rPr>
      </w:pPr>
      <w:r>
        <w:rPr>
          <w:rFonts w:hint="eastAsia" w:ascii="Times New Roman" w:hAnsi="Times New Roman" w:cs="仿宋_GB2312"/>
          <w:sz w:val="32"/>
          <w:szCs w:val="32"/>
        </w:rPr>
        <w:t>（六）暂时停止交易；</w:t>
      </w:r>
    </w:p>
    <w:p w14:paraId="31AFB551">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（七）其他紧急措施。</w:t>
      </w:r>
    </w:p>
    <w:p w14:paraId="0FCAC020">
      <w:pPr>
        <w:ind w:firstLine="632" w:firstLineChars="200"/>
        <w:rPr>
          <w:rFonts w:ascii="Times New Roman" w:hAnsi="Times New Roman" w:cs="仿宋_GB2312"/>
          <w:sz w:val="32"/>
          <w:szCs w:val="32"/>
        </w:rPr>
      </w:pPr>
      <w:r>
        <w:rPr>
          <w:rFonts w:hint="eastAsia" w:ascii="Times New Roman" w:hAnsi="Times New Roman" w:cs="仿宋_GB2312"/>
          <w:sz w:val="32"/>
          <w:szCs w:val="32"/>
        </w:rPr>
        <w:t>异常情况消失后，期货交易场所应当及时取消紧急措施。</w:t>
      </w:r>
    </w:p>
    <w:p w14:paraId="58011940">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期货交易场所应当实时公布期货交易即时行情，并按交易日制作期货市场行情表，予以公布。</w:t>
      </w:r>
    </w:p>
    <w:p w14:paraId="49359C2E">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期货交易行情的权益由期货交易场所享有。未经期货交易场所许可，任何单位和个人不得发布期货交易行情。</w:t>
      </w:r>
    </w:p>
    <w:p w14:paraId="104F38F5">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期货交易场所不得发布价格预测信息。</w:t>
      </w:r>
    </w:p>
    <w:p w14:paraId="45CB2B03">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期货交易场所应当依照国务院期货监督管理机构的规定，履行信息报告义务。</w:t>
      </w:r>
    </w:p>
    <w:p w14:paraId="52161441">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因突发性事件影响期货交易正常进行时，为维护期货交易正常秩序和市场公平，期货交易场所可以按照本法和业务规则规定采取必要的处置措施，并应当及时向国务院期货监督管理机构报告。</w:t>
      </w:r>
    </w:p>
    <w:p w14:paraId="2F6CB37E">
      <w:pPr>
        <w:ind w:firstLine="632" w:firstLineChars="200"/>
        <w:rPr>
          <w:rFonts w:ascii="Times New Roman" w:hAnsi="Times New Roman" w:cs="仿宋_GB2312"/>
          <w:sz w:val="32"/>
          <w:szCs w:val="32"/>
        </w:rPr>
      </w:pPr>
      <w:r>
        <w:rPr>
          <w:rFonts w:hint="eastAsia" w:ascii="Times New Roman" w:hAnsi="Times New Roman" w:cs="仿宋_GB2312"/>
          <w:sz w:val="32"/>
          <w:szCs w:val="32"/>
        </w:rPr>
        <w:t>因前款规定的突发性事件导致期货交易结果出现重大异常，按交易结果进行结算、交割将对期货交易正常秩序和市场公平造成重大影响的，期货交易场所可以按照业务规则采取取消交易等措施，并应当及时向国务院期货监督管理机构报告并公告。</w:t>
      </w:r>
    </w:p>
    <w:p w14:paraId="501F7FBC">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期货交易场所对其依照本法第八十七条、第八十九条规定采取措施造成的损失，不承担民事赔偿责任，但存在重大过错的除外。</w:t>
      </w:r>
    </w:p>
    <w:p w14:paraId="03CE2475">
      <w:pPr>
        <w:rPr>
          <w:rFonts w:ascii="Times New Roman" w:hAnsi="Times New Roman" w:eastAsia="宋体" w:cs="宋体"/>
          <w:szCs w:val="32"/>
        </w:rPr>
      </w:pPr>
    </w:p>
    <w:p w14:paraId="0F8F23D8">
      <w:pPr>
        <w:jc w:val="center"/>
        <w:rPr>
          <w:rFonts w:ascii="Times New Roman" w:hAnsi="Times New Roman" w:eastAsia="黑体" w:cs="黑体"/>
          <w:szCs w:val="32"/>
        </w:rPr>
      </w:pPr>
      <w:bookmarkStart w:id="102" w:name="第七章 期货结算机构"/>
      <w:bookmarkEnd w:id="102"/>
      <w:r>
        <w:rPr>
          <w:rFonts w:hint="eastAsia" w:ascii="Times New Roman" w:hAnsi="Times New Roman" w:eastAsia="黑体" w:cs="黑体"/>
          <w:szCs w:val="32"/>
        </w:rPr>
        <w:t>第七章　期货结算机构</w:t>
      </w:r>
    </w:p>
    <w:p w14:paraId="0B0455F0">
      <w:pPr>
        <w:rPr>
          <w:rFonts w:ascii="Times New Roman" w:hAnsi="Times New Roman" w:eastAsia="宋体" w:cs="宋体"/>
          <w:szCs w:val="32"/>
        </w:rPr>
      </w:pPr>
    </w:p>
    <w:p w14:paraId="3D0D7DD6">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期货结算机构是指依法设立，为期货交易提供结算、交割服务，实行自律管理的法人。</w:t>
      </w:r>
    </w:p>
    <w:p w14:paraId="477A1A40">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期货结算机构包括内部设有结算部门的期货交易场所、独立的期货结算机构和经国务院期货监督管理机构批准从事与证券业务相关的期货交易结算、交割业务的证券结算机构。</w:t>
      </w:r>
    </w:p>
    <w:p w14:paraId="59F78186">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独立的期货结算机构的设立、变更和解散，应当经国务院期货监督管理机构批准。</w:t>
      </w:r>
    </w:p>
    <w:p w14:paraId="0E4BF0F0">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设立独立的期货结算机构，应当具备下列条件：</w:t>
      </w:r>
    </w:p>
    <w:p w14:paraId="4A4D21B0">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（一）具备良好的财务状况，注册资本最低限额符合国务院期货监督管理机构的规定；</w:t>
      </w:r>
    </w:p>
    <w:p w14:paraId="687691B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（二）有具备任职专业知识和业务工作经验的高级管理人员；</w:t>
      </w:r>
    </w:p>
    <w:p w14:paraId="7FD54D1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（三）具备完善的治理结构、内部控制制度和风险控制制度；</w:t>
      </w:r>
    </w:p>
    <w:p w14:paraId="051B2C6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（四）具备符合要求的营业场所、信息技术系统以及与期货交易的结算有关的其他设施；</w:t>
      </w:r>
    </w:p>
    <w:p w14:paraId="67236A28">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（五）国务院期货监督管理机构规定的其他条件。</w:t>
      </w:r>
    </w:p>
    <w:p w14:paraId="2AB6C2D4">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承担期货结算机构职责的期货交易场所，应当具备本条第二款规定的条件。</w:t>
      </w:r>
    </w:p>
    <w:p w14:paraId="6557726D">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国务院期货监督管理机构应当根据审慎监管原则进行审查，在六个月内作出批准或者不予批准的决定。</w:t>
      </w:r>
    </w:p>
    <w:p w14:paraId="43892636">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期货结算机构作为中央对手方，是结算参与人共同对手方，进行净额结算，为期货交易提供集中履约保障。</w:t>
      </w:r>
    </w:p>
    <w:p w14:paraId="676BBA0B">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期货结算机构履行下列职责：</w:t>
      </w:r>
    </w:p>
    <w:p w14:paraId="5FFD3818">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（一）组织期货交易的结算、交割；</w:t>
      </w:r>
    </w:p>
    <w:p w14:paraId="48496F8F">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（二）按照章程和业务规则对交易者、期货经营机构、期货服务机构、非期货经营机构结算参与人等进行自律管理；</w:t>
      </w:r>
    </w:p>
    <w:p w14:paraId="64F14EFE">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（三）办理与期货交易的结算、交割有关的信息查询业务；</w:t>
      </w:r>
    </w:p>
    <w:p w14:paraId="19C4ACDE">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（四）国务院期货监督管理机构规定的其他职责。</w:t>
      </w:r>
    </w:p>
    <w:p w14:paraId="369863F2">
      <w:pPr>
        <w:ind w:firstLine="632" w:firstLineChars="200"/>
        <w:rPr>
          <w:rFonts w:ascii="Times New Roman" w:hAnsi="Times New Roman" w:cs="仿宋_GB2312"/>
          <w:sz w:val="32"/>
          <w:szCs w:val="32"/>
        </w:rPr>
      </w:pPr>
      <w:bookmarkStart w:id="107" w:name="第九十五条"/>
      <w:bookmarkEnd w:id="107"/>
      <w:r>
        <w:rPr>
          <w:rFonts w:hint="eastAsia" w:ascii="Times New Roman" w:hAnsi="Times New Roman" w:eastAsia="黑体" w:cs="黑体"/>
          <w:sz w:val="32"/>
          <w:szCs w:val="32"/>
        </w:rPr>
        <w:t>第九十五条</w:t>
      </w:r>
      <w:r>
        <w:rPr>
          <w:rFonts w:hint="eastAsia" w:ascii="Times New Roman" w:hAnsi="Times New Roman" w:cs="仿宋_GB2312"/>
          <w:sz w:val="32"/>
          <w:szCs w:val="32"/>
        </w:rPr>
        <w:t>　期货结算机构应当按照国务院期货监督管理机构的规定，在其业务规则中规定结算参与人制度、风险控制制度、信息安全管理制度、违规违约处理制度、应急处理及临时处置措施等事项。期货结算机构制定和修改章程、业务规则，应当经国务院期货监督管理机构批准。参与期货结算，应当遵守期货结算机构制定的业务规则。</w:t>
      </w:r>
    </w:p>
    <w:p w14:paraId="56486744">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期货结算机构制定和执行业务规则，应当与期货交易场所的相关制度衔接、协调。</w:t>
      </w:r>
    </w:p>
    <w:p w14:paraId="5C44BAF9">
      <w:pPr>
        <w:ind w:firstLine="632" w:firstLineChars="200"/>
        <w:rPr>
          <w:rFonts w:ascii="Times New Roman" w:hAnsi="Times New Roman" w:cs="仿宋_GB2312"/>
          <w:sz w:val="32"/>
          <w:szCs w:val="32"/>
        </w:rPr>
      </w:pPr>
      <w:bookmarkStart w:id="108" w:name="第九十六条"/>
      <w:bookmarkEnd w:id="108"/>
      <w:r>
        <w:rPr>
          <w:rFonts w:hint="eastAsia" w:ascii="Times New Roman" w:hAnsi="Times New Roman" w:eastAsia="黑体" w:cs="黑体"/>
          <w:sz w:val="32"/>
          <w:szCs w:val="32"/>
        </w:rPr>
        <w:t>第九十六条</w:t>
      </w:r>
      <w:r>
        <w:rPr>
          <w:rFonts w:hint="eastAsia" w:ascii="Times New Roman" w:hAnsi="Times New Roman" w:cs="仿宋_GB2312"/>
          <w:sz w:val="32"/>
          <w:szCs w:val="32"/>
        </w:rPr>
        <w:t>　期货结算机构应当建立流动性管理制度，保障结算活动的稳健运行。</w:t>
      </w:r>
    </w:p>
    <w:p w14:paraId="0E09BFA7">
      <w:pPr>
        <w:ind w:firstLine="632" w:firstLineChars="200"/>
        <w:rPr>
          <w:rFonts w:ascii="Times New Roman" w:hAnsi="Times New Roman" w:cs="仿宋_GB2312"/>
          <w:sz w:val="32"/>
          <w:szCs w:val="32"/>
        </w:rPr>
      </w:pPr>
      <w:bookmarkStart w:id="109" w:name="第九十七条"/>
      <w:bookmarkEnd w:id="109"/>
      <w:r>
        <w:rPr>
          <w:rFonts w:hint="eastAsia" w:ascii="Times New Roman" w:hAnsi="Times New Roman" w:eastAsia="黑体" w:cs="黑体"/>
          <w:sz w:val="32"/>
          <w:szCs w:val="32"/>
        </w:rPr>
        <w:t>第九十七条</w:t>
      </w:r>
      <w:r>
        <w:rPr>
          <w:rFonts w:hint="eastAsia" w:ascii="Times New Roman" w:hAnsi="Times New Roman" w:cs="仿宋_GB2312"/>
          <w:sz w:val="32"/>
          <w:szCs w:val="32"/>
        </w:rPr>
        <w:t>　本法第八十四条，第八十五条第二款，第八十六条，第八十八条第三款、第四款的规定，适用于独立的期货结算机构和经批准从事期货交易结算、交割业务的证券结算机构。</w:t>
      </w:r>
    </w:p>
    <w:p w14:paraId="7DA70183">
      <w:pPr>
        <w:rPr>
          <w:rFonts w:ascii="Times New Roman" w:hAnsi="Times New Roman" w:eastAsia="宋体" w:cs="宋体"/>
          <w:szCs w:val="32"/>
        </w:rPr>
      </w:pPr>
    </w:p>
    <w:p w14:paraId="2F5E7E50">
      <w:pPr>
        <w:jc w:val="center"/>
        <w:rPr>
          <w:rFonts w:ascii="Times New Roman" w:hAnsi="Times New Roman" w:eastAsia="黑体" w:cs="黑体"/>
          <w:szCs w:val="32"/>
        </w:rPr>
      </w:pPr>
      <w:bookmarkStart w:id="110" w:name="第八章 期货服务机构"/>
      <w:bookmarkEnd w:id="110"/>
      <w:r>
        <w:rPr>
          <w:rFonts w:hint="eastAsia" w:ascii="Times New Roman" w:hAnsi="Times New Roman" w:eastAsia="黑体" w:cs="黑体"/>
          <w:szCs w:val="32"/>
        </w:rPr>
        <w:t>第八章　期货服务机构</w:t>
      </w:r>
    </w:p>
    <w:p w14:paraId="3DBC51E0">
      <w:pPr>
        <w:rPr>
          <w:rFonts w:ascii="Times New Roman" w:hAnsi="Times New Roman" w:eastAsia="宋体" w:cs="宋体"/>
          <w:szCs w:val="32"/>
        </w:rPr>
      </w:pPr>
    </w:p>
    <w:p w14:paraId="13073B74">
      <w:pPr>
        <w:ind w:firstLine="632" w:firstLineChars="200"/>
        <w:rPr>
          <w:rFonts w:ascii="Times New Roman" w:hAnsi="Times New Roman" w:cs="仿宋_GB2312"/>
          <w:sz w:val="32"/>
          <w:szCs w:val="32"/>
        </w:rPr>
      </w:pPr>
      <w:bookmarkStart w:id="111" w:name="第九十八条"/>
      <w:bookmarkEnd w:id="111"/>
      <w:r>
        <w:rPr>
          <w:rFonts w:hint="eastAsia" w:ascii="Times New Roman" w:hAnsi="Times New Roman" w:eastAsia="黑体" w:cs="黑体"/>
          <w:sz w:val="32"/>
          <w:szCs w:val="32"/>
        </w:rPr>
        <w:t>第九十八条</w:t>
      </w:r>
      <w:r>
        <w:rPr>
          <w:rFonts w:hint="eastAsia" w:ascii="Times New Roman" w:hAnsi="Times New Roman" w:cs="仿宋_GB2312"/>
          <w:sz w:val="32"/>
          <w:szCs w:val="32"/>
        </w:rPr>
        <w:t>　会计师事务所、律师事务所、资产评估机构、期货保证金存管机构、交割库、信息技术服务机构等期货服务机构，应当勤勉尽责、恪尽职守，按照相关业务规则为期货交易及相关活动提供服务，并按照国务院期货监督管理机构的要求提供相关资料。</w:t>
      </w:r>
    </w:p>
    <w:p w14:paraId="2094ECF8">
      <w:pPr>
        <w:ind w:firstLine="632" w:firstLineChars="200"/>
        <w:rPr>
          <w:rFonts w:ascii="Times New Roman" w:hAnsi="Times New Roman" w:cs="仿宋_GB2312"/>
          <w:sz w:val="32"/>
          <w:szCs w:val="32"/>
        </w:rPr>
      </w:pPr>
      <w:bookmarkStart w:id="112" w:name="第九十九条"/>
      <w:bookmarkEnd w:id="112"/>
      <w:r>
        <w:rPr>
          <w:rFonts w:hint="eastAsia" w:ascii="Times New Roman" w:hAnsi="Times New Roman" w:eastAsia="黑体" w:cs="黑体"/>
          <w:sz w:val="32"/>
          <w:szCs w:val="32"/>
        </w:rPr>
        <w:t>第九十九条</w:t>
      </w:r>
      <w:r>
        <w:rPr>
          <w:rFonts w:hint="eastAsia" w:ascii="Times New Roman" w:hAnsi="Times New Roman" w:cs="仿宋_GB2312"/>
          <w:sz w:val="32"/>
          <w:szCs w:val="32"/>
        </w:rPr>
        <w:t>　会计师事务所、律师事务所、资产评估机构等期货服务机构接受期货经营机构、期货交易场所、期货结算机构的委托出具审计报告、法律意见书等文件，应当对所依据的文件资料内容的真实性、准确性、完整性进行核查和验证。</w:t>
      </w:r>
    </w:p>
    <w:p w14:paraId="61B1CCF8">
      <w:pPr>
        <w:ind w:firstLine="632" w:firstLineChars="200"/>
        <w:rPr>
          <w:rFonts w:ascii="Times New Roman" w:hAnsi="Times New Roman" w:cs="仿宋_GB2312"/>
          <w:sz w:val="32"/>
          <w:szCs w:val="32"/>
        </w:rPr>
      </w:pPr>
      <w:bookmarkStart w:id="113" w:name="第一百条"/>
      <w:bookmarkEnd w:id="113"/>
      <w:r>
        <w:rPr>
          <w:rFonts w:hint="eastAsia" w:ascii="Times New Roman" w:hAnsi="Times New Roman" w:eastAsia="黑体" w:cs="黑体"/>
          <w:sz w:val="32"/>
          <w:szCs w:val="32"/>
        </w:rPr>
        <w:t>第一百条</w:t>
      </w:r>
      <w:r>
        <w:rPr>
          <w:rFonts w:hint="eastAsia" w:ascii="Times New Roman" w:hAnsi="Times New Roman" w:cs="仿宋_GB2312"/>
          <w:sz w:val="32"/>
          <w:szCs w:val="32"/>
        </w:rPr>
        <w:t>　交割库包括交割仓库和交割厂库等。交割库为期货交易的交割提供相关服务，应当符合期货交易场所规定的条件。期货交易场所应当与交割库签订协议，明确双方的权利和义务。</w:t>
      </w:r>
    </w:p>
    <w:p w14:paraId="3B4A09BD">
      <w:pPr>
        <w:ind w:firstLine="632" w:firstLineChars="200"/>
        <w:rPr>
          <w:rFonts w:ascii="Times New Roman" w:hAnsi="Times New Roman" w:cs="仿宋_GB2312"/>
          <w:sz w:val="32"/>
          <w:szCs w:val="32"/>
        </w:rPr>
      </w:pPr>
      <w:r>
        <w:rPr>
          <w:rFonts w:hint="eastAsia" w:ascii="Times New Roman" w:hAnsi="Times New Roman" w:cs="仿宋_GB2312"/>
          <w:sz w:val="32"/>
          <w:szCs w:val="32"/>
        </w:rPr>
        <w:t>交割库不得有下列行为：</w:t>
      </w:r>
    </w:p>
    <w:p w14:paraId="323F9B50">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（一）出具虚假仓单；</w:t>
      </w:r>
    </w:p>
    <w:p w14:paraId="4BC93434">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（二）违反期货交易场所的业务规则，限制交割商品的出库、入库；</w:t>
      </w:r>
    </w:p>
    <w:p w14:paraId="0B88C5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（三）泄露与期货交易有关的商业秘密；</w:t>
      </w:r>
    </w:p>
    <w:p w14:paraId="0566F0A3">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（四）违反国家有关规定参与期货交易；</w:t>
      </w:r>
    </w:p>
    <w:p w14:paraId="59440581">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（五）违反国务院期货监督管理机构规定的其他行为。</w:t>
      </w:r>
    </w:p>
    <w:p w14:paraId="5D1794D8">
      <w:pPr>
        <w:ind w:firstLine="632" w:firstLineChars="200"/>
        <w:rPr>
          <w:rFonts w:ascii="Times New Roman" w:hAnsi="Times New Roman" w:cs="仿宋_GB2312"/>
          <w:sz w:val="32"/>
          <w:szCs w:val="32"/>
        </w:rPr>
      </w:pPr>
      <w:bookmarkStart w:id="114" w:name="第一百零一条"/>
      <w:bookmarkEnd w:id="114"/>
      <w:r>
        <w:rPr>
          <w:rFonts w:hint="eastAsia" w:ascii="Times New Roman" w:hAnsi="Times New Roman" w:eastAsia="黑体" w:cs="黑体"/>
          <w:sz w:val="32"/>
          <w:szCs w:val="32"/>
        </w:rPr>
        <w:t>第一百零一条</w:t>
      </w:r>
      <w:r>
        <w:rPr>
          <w:rFonts w:hint="eastAsia" w:ascii="Times New Roman" w:hAnsi="Times New Roman" w:cs="仿宋_GB2312"/>
          <w:sz w:val="32"/>
          <w:szCs w:val="32"/>
        </w:rPr>
        <w:t>　为期货交易及相关活动提供信息技术系统服务的机构，应当符合国家及期货行业信息安全相关的技术管理规定和标准，并向国务院期货监督管理机构备案。</w:t>
      </w:r>
    </w:p>
    <w:p w14:paraId="36952B4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国务院期货监督管理机构可以依法要求信息技术服务机构提供前款规定的信息技术系统的相关材料。</w:t>
      </w:r>
    </w:p>
    <w:p w14:paraId="43FF0BF1">
      <w:pPr>
        <w:rPr>
          <w:rFonts w:ascii="Times New Roman" w:hAnsi="Times New Roman" w:eastAsia="宋体" w:cs="宋体"/>
          <w:szCs w:val="32"/>
        </w:rPr>
      </w:pPr>
    </w:p>
    <w:p w14:paraId="6430A18E">
      <w:pPr>
        <w:jc w:val="center"/>
        <w:rPr>
          <w:rFonts w:ascii="Times New Roman" w:hAnsi="Times New Roman" w:eastAsia="黑体" w:cs="黑体"/>
          <w:szCs w:val="32"/>
        </w:rPr>
      </w:pPr>
      <w:bookmarkStart w:id="115" w:name="第九章 期货业协会"/>
      <w:bookmarkEnd w:id="115"/>
      <w:r>
        <w:rPr>
          <w:rFonts w:hint="eastAsia" w:ascii="Times New Roman" w:hAnsi="Times New Roman" w:eastAsia="黑体" w:cs="黑体"/>
          <w:szCs w:val="32"/>
        </w:rPr>
        <w:t>第九章　期货业协会</w:t>
      </w:r>
    </w:p>
    <w:p w14:paraId="6969CB26">
      <w:pPr>
        <w:rPr>
          <w:rFonts w:ascii="Times New Roman" w:hAnsi="Times New Roman" w:eastAsia="宋体" w:cs="宋体"/>
          <w:szCs w:val="32"/>
        </w:rPr>
      </w:pPr>
    </w:p>
    <w:p w14:paraId="173774D4">
      <w:pPr>
        <w:ind w:firstLine="632" w:firstLineChars="200"/>
        <w:rPr>
          <w:rFonts w:ascii="Times New Roman" w:hAnsi="Times New Roman" w:cs="仿宋_GB2312"/>
          <w:sz w:val="32"/>
          <w:szCs w:val="32"/>
        </w:rPr>
      </w:pPr>
      <w:bookmarkStart w:id="116" w:name="第一百零二条"/>
      <w:bookmarkEnd w:id="116"/>
      <w:r>
        <w:rPr>
          <w:rFonts w:hint="eastAsia" w:ascii="Times New Roman" w:hAnsi="Times New Roman" w:eastAsia="黑体" w:cs="黑体"/>
          <w:sz w:val="32"/>
          <w:szCs w:val="32"/>
        </w:rPr>
        <w:t>第一百零二条</w:t>
      </w:r>
      <w:r>
        <w:rPr>
          <w:rFonts w:hint="eastAsia" w:ascii="Times New Roman" w:hAnsi="Times New Roman" w:cs="仿宋_GB2312"/>
          <w:sz w:val="32"/>
          <w:szCs w:val="32"/>
        </w:rPr>
        <w:t>　期货业协会是期货行业的自律性组织，是社会团体法人。</w:t>
      </w:r>
    </w:p>
    <w:p w14:paraId="4CB0AFBE">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期货经营机构应当加入期货业协会。期货服务机构可以加入期货业协会。</w:t>
      </w:r>
    </w:p>
    <w:p w14:paraId="00C08316">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期货业协会的权力机构为会员大会。</w:t>
      </w:r>
    </w:p>
    <w:p w14:paraId="501C455F">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期货业协会的章程由会员大会制定，并报国务院期货监督管理机构备案。</w:t>
      </w:r>
    </w:p>
    <w:p w14:paraId="01965272">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期货业协会设理事会。理事会成员依照章程的规定选举产生。</w:t>
      </w:r>
    </w:p>
    <w:p w14:paraId="19A04AD2">
      <w:pPr>
        <w:ind w:firstLine="632" w:firstLineChars="200"/>
        <w:rPr>
          <w:rFonts w:ascii="Times New Roman" w:hAnsi="Times New Roman" w:cs="仿宋_GB2312"/>
          <w:sz w:val="32"/>
          <w:szCs w:val="32"/>
        </w:rPr>
      </w:pPr>
      <w:bookmarkStart w:id="118" w:name="第一百零四条"/>
      <w:bookmarkEnd w:id="118"/>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期货业协会履行下列职责：</w:t>
      </w:r>
    </w:p>
    <w:p w14:paraId="6CC3F02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（一）制定和实施行业自律规则，监督、检查会员的业务活动及从业人员的执业行为，对违反法律、行政法规、国家有关规定、协会章程和自律规则的，按照规定给予纪律处分或者实施其他自律管理措施；</w:t>
      </w:r>
    </w:p>
    <w:p w14:paraId="6226119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（二）对会员之间、会员与交易者之间发生的纠纷进行调解；</w:t>
      </w:r>
    </w:p>
    <w:p w14:paraId="7A27A7D4">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（三）依法维护会员的合法权益，向国务院期货监督管理机构反映会员的建议和要求；</w:t>
      </w:r>
    </w:p>
    <w:p w14:paraId="1036EA73">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（四）组织期货从业人员的业务培训，开展会员间的业务交流；</w:t>
      </w:r>
    </w:p>
    <w:p w14:paraId="54210902">
      <w:pPr>
        <w:ind w:firstLine="632" w:firstLineChars="200"/>
        <w:rPr>
          <w:rFonts w:ascii="Times New Roman" w:hAnsi="Times New Roman" w:cs="仿宋_GB2312"/>
          <w:sz w:val="32"/>
          <w:szCs w:val="32"/>
        </w:rPr>
      </w:pPr>
      <w:r>
        <w:rPr>
          <w:rFonts w:hint="eastAsia" w:ascii="Times New Roman" w:hAnsi="Times New Roman" w:cs="仿宋_GB2312"/>
          <w:sz w:val="32"/>
          <w:szCs w:val="32"/>
        </w:rPr>
        <w:t>（五）教育会员和期货从业人员遵守期货法律法规和政策，组织开展行业诚信建设，建立行业诚信激励约束机制；</w:t>
      </w:r>
    </w:p>
    <w:p w14:paraId="6BE104DD">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（六）开展交易者教育和保护工作，督促会员落实交易者适当性管理制度，开展期货市场宣传；</w:t>
      </w:r>
    </w:p>
    <w:p w14:paraId="063864DA">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（七）对会员的信息安全工作实行自律管理，督促会员执行国家和行业信息安全相关规定和技术标准；</w:t>
      </w:r>
    </w:p>
    <w:p w14:paraId="2F1A723E">
      <w:pPr>
        <w:ind w:firstLine="632" w:firstLineChars="200"/>
        <w:rPr>
          <w:rFonts w:ascii="Times New Roman" w:hAnsi="Times New Roman" w:cs="仿宋_GB2312"/>
          <w:sz w:val="32"/>
          <w:szCs w:val="32"/>
        </w:rPr>
      </w:pPr>
      <w:r>
        <w:rPr>
          <w:rFonts w:hint="eastAsia" w:ascii="Times New Roman" w:hAnsi="Times New Roman" w:cs="仿宋_GB2312"/>
          <w:sz w:val="32"/>
          <w:szCs w:val="32"/>
        </w:rPr>
        <w:t>（八）组织会员就期货行业的发展、运作及有关内容进行研究，收集整理、发布期货相关信息，提供会员服务，组织行业交流，引导行业创新发展；</w:t>
      </w:r>
    </w:p>
    <w:p w14:paraId="66DBF39F">
      <w:pPr>
        <w:ind w:firstLine="632" w:firstLineChars="200"/>
        <w:rPr>
          <w:rFonts w:ascii="Times New Roman" w:hAnsi="Times New Roman" w:cs="仿宋_GB2312"/>
          <w:sz w:val="32"/>
          <w:szCs w:val="32"/>
        </w:rPr>
      </w:pPr>
      <w:r>
        <w:rPr>
          <w:rFonts w:hint="eastAsia" w:ascii="Times New Roman" w:hAnsi="Times New Roman" w:cs="仿宋_GB2312"/>
          <w:sz w:val="32"/>
          <w:szCs w:val="32"/>
        </w:rPr>
        <w:t>（九）期货业协会章程规定的其他职责。</w:t>
      </w:r>
    </w:p>
    <w:p w14:paraId="2335340F">
      <w:pPr>
        <w:rPr>
          <w:rFonts w:ascii="Times New Roman" w:hAnsi="Times New Roman" w:eastAsia="宋体" w:cs="宋体"/>
          <w:szCs w:val="32"/>
        </w:rPr>
      </w:pPr>
    </w:p>
    <w:p w14:paraId="73146250">
      <w:pPr>
        <w:jc w:val="center"/>
        <w:rPr>
          <w:rFonts w:ascii="Times New Roman" w:hAnsi="Times New Roman" w:eastAsia="黑体" w:cs="黑体"/>
          <w:szCs w:val="32"/>
        </w:rPr>
      </w:pPr>
      <w:bookmarkStart w:id="119" w:name="第十章 监督管理"/>
      <w:bookmarkEnd w:id="119"/>
      <w:r>
        <w:rPr>
          <w:rFonts w:hint="eastAsia" w:ascii="Times New Roman" w:hAnsi="Times New Roman" w:eastAsia="黑体" w:cs="黑体"/>
          <w:szCs w:val="32"/>
        </w:rPr>
        <w:t>第十章　监督管理</w:t>
      </w:r>
    </w:p>
    <w:p w14:paraId="0F80749E">
      <w:pPr>
        <w:rPr>
          <w:rFonts w:ascii="Times New Roman" w:hAnsi="Times New Roman" w:eastAsia="宋体" w:cs="宋体"/>
          <w:szCs w:val="32"/>
        </w:rPr>
      </w:pPr>
    </w:p>
    <w:p w14:paraId="0A50F25A">
      <w:pPr>
        <w:ind w:firstLine="632" w:firstLineChars="200"/>
        <w:rPr>
          <w:rFonts w:ascii="Times New Roman" w:hAnsi="Times New Roman" w:cs="仿宋_GB2312"/>
          <w:sz w:val="32"/>
          <w:szCs w:val="32"/>
        </w:rPr>
      </w:pPr>
      <w:bookmarkStart w:id="120" w:name="第一百零五条"/>
      <w:bookmarkEnd w:id="120"/>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国务院期货监督管理机构依法对期货市场实行监督管理，维护期货市场公开、公平、公正，防范系统性风险，维护交易者合法权益，促进期货市场健康发展。</w:t>
      </w:r>
    </w:p>
    <w:p w14:paraId="7793AF8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国务院期货监督管理机构在对期货市场实施监督管理中，依法履行下列职责：</w:t>
      </w:r>
    </w:p>
    <w:p w14:paraId="01DD2D5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（一）制定有关期货市场监督管理的规章、规则，并依法进行审批、核准、注册，办理备案；</w:t>
      </w:r>
    </w:p>
    <w:p w14:paraId="55831AE7">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（二）对品种的上市、交易、结算、交割等期货交易及相关活动，进行监督管理；</w:t>
      </w:r>
    </w:p>
    <w:p w14:paraId="08F05E0F">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（三）对期货经营机构、期货交易场所、期货结算机构、期货服务机构和非期货经营机构结算参与人等市场相关参与者的期货业务活动，进行监督管理；</w:t>
      </w:r>
    </w:p>
    <w:p w14:paraId="26791DE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（四）制定期货从业人员的行为准则，并监督实施；</w:t>
      </w:r>
    </w:p>
    <w:p w14:paraId="3EA4AF04">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（五）监督检查期货交易的信息公开情况；</w:t>
      </w:r>
    </w:p>
    <w:p w14:paraId="6E73F03C">
      <w:pPr>
        <w:ind w:firstLine="632" w:firstLineChars="200"/>
        <w:rPr>
          <w:rFonts w:ascii="Times New Roman" w:hAnsi="Times New Roman" w:cs="仿宋_GB2312"/>
          <w:sz w:val="32"/>
          <w:szCs w:val="32"/>
        </w:rPr>
      </w:pPr>
      <w:r>
        <w:rPr>
          <w:rFonts w:hint="eastAsia" w:ascii="Times New Roman" w:hAnsi="Times New Roman" w:cs="仿宋_GB2312"/>
          <w:sz w:val="32"/>
          <w:szCs w:val="32"/>
        </w:rPr>
        <w:t>（六）维护交易者合法权益、开展交易者教育；</w:t>
      </w:r>
    </w:p>
    <w:p w14:paraId="578DEBDE">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（七）对期货违法行为进行查处；</w:t>
      </w:r>
    </w:p>
    <w:p w14:paraId="250127CC">
      <w:pPr>
        <w:ind w:firstLine="632" w:firstLineChars="200"/>
        <w:rPr>
          <w:rFonts w:ascii="Times New Roman" w:hAnsi="Times New Roman" w:cs="仿宋_GB2312"/>
          <w:sz w:val="32"/>
          <w:szCs w:val="32"/>
        </w:rPr>
      </w:pPr>
      <w:r>
        <w:rPr>
          <w:rFonts w:hint="eastAsia" w:ascii="Times New Roman" w:hAnsi="Times New Roman" w:cs="仿宋_GB2312"/>
          <w:sz w:val="32"/>
          <w:szCs w:val="32"/>
        </w:rPr>
        <w:t>（八）监测监控并防范、处置期货市场风险；</w:t>
      </w:r>
    </w:p>
    <w:p w14:paraId="35F1AF54">
      <w:pPr>
        <w:ind w:firstLine="632" w:firstLineChars="200"/>
        <w:rPr>
          <w:rFonts w:ascii="Times New Roman" w:hAnsi="Times New Roman" w:cs="仿宋_GB2312"/>
          <w:sz w:val="32"/>
          <w:szCs w:val="32"/>
        </w:rPr>
      </w:pPr>
      <w:r>
        <w:rPr>
          <w:rFonts w:hint="eastAsia" w:ascii="Times New Roman" w:hAnsi="Times New Roman" w:cs="仿宋_GB2312"/>
          <w:sz w:val="32"/>
          <w:szCs w:val="32"/>
        </w:rPr>
        <w:t>（九）对期货行业金融科技和信息安全进行监管；</w:t>
      </w:r>
    </w:p>
    <w:p w14:paraId="2DFF22AE">
      <w:pPr>
        <w:ind w:firstLine="632" w:firstLineChars="200"/>
        <w:rPr>
          <w:rFonts w:ascii="Times New Roman" w:hAnsi="Times New Roman" w:cs="仿宋_GB2312"/>
          <w:sz w:val="32"/>
          <w:szCs w:val="32"/>
        </w:rPr>
      </w:pPr>
      <w:r>
        <w:rPr>
          <w:rFonts w:hint="eastAsia" w:ascii="Times New Roman" w:hAnsi="Times New Roman" w:cs="仿宋_GB2312"/>
          <w:sz w:val="32"/>
          <w:szCs w:val="32"/>
        </w:rPr>
        <w:t>（十）对期货业协会的自律管理活动进行指导和监督；</w:t>
      </w:r>
    </w:p>
    <w:p w14:paraId="5A028B3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（十一）法律、行政法规规定的其他职责。</w:t>
      </w:r>
    </w:p>
    <w:p w14:paraId="7C56BF82">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国务院期货监督管理机构根据需要可以设立派出机构，依照授权履行监督管理职责。</w:t>
      </w:r>
    </w:p>
    <w:p w14:paraId="38C98191">
      <w:pPr>
        <w:ind w:firstLine="632" w:firstLineChars="200"/>
        <w:rPr>
          <w:rFonts w:ascii="Times New Roman" w:hAnsi="Times New Roman" w:cs="仿宋_GB2312"/>
          <w:sz w:val="32"/>
          <w:szCs w:val="32"/>
        </w:rPr>
      </w:pPr>
      <w:bookmarkStart w:id="121" w:name="第一百零六条"/>
      <w:bookmarkEnd w:id="121"/>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国务院期货监督管理机构依法履行职责，有权采取下列措施：</w:t>
      </w:r>
    </w:p>
    <w:p w14:paraId="67EFE47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（一）对期货经营机构、期货交易场所、期货结算机构进行现场检查，并要求其报送有关的财务会计、业务活动、内部控制等资料；</w:t>
      </w:r>
    </w:p>
    <w:p w14:paraId="7CB5722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（二）进入涉嫌违法行为发生场所调查取证；</w:t>
      </w:r>
    </w:p>
    <w:p w14:paraId="4D370E5F">
      <w:pPr>
        <w:ind w:firstLine="632" w:firstLineChars="200"/>
        <w:rPr>
          <w:rFonts w:ascii="Times New Roman" w:hAnsi="Times New Roman" w:cs="仿宋_GB2312"/>
          <w:sz w:val="32"/>
          <w:szCs w:val="32"/>
        </w:rPr>
      </w:pPr>
      <w:r>
        <w:rPr>
          <w:rFonts w:hint="eastAsia" w:ascii="Times New Roman" w:hAnsi="Times New Roman" w:cs="仿宋_GB2312"/>
          <w:sz w:val="32"/>
          <w:szCs w:val="32"/>
        </w:rPr>
        <w:t>（三）询问当事人和与被调查事件有关的单位和个人，要求其对与被调查事件有关的事项作出说明，或者要求其按照指定的方式报送与被调查事件有关的文件和资料；</w:t>
      </w:r>
    </w:p>
    <w:p w14:paraId="4F0BCF4A">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（四）查阅、复制与被调查事件有关的财产权登记、通讯记录等文件和资料；</w:t>
      </w:r>
    </w:p>
    <w:p w14:paraId="68CA3D4D">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（五）查阅、复制当事人和与被调查事件有关的单位和个人的期货交易记录、财务会计资料及其他相关文件和资料；对可能被转移、隐匿或者毁损的文件资料，可以予以封存、扣押；</w:t>
      </w:r>
    </w:p>
    <w:p w14:paraId="57809916">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询当事人和与被调查事件有关的单位和个人的保证金账户和银行账户以及其他具有支付、托管、结算等功能的账户信息，可以对有关文件和资料进行复制；对有证据证明已经或者可能转移或者隐匿违法资金等涉案财产或者隐匿、伪造、毁损重要证据的，经国务院期货监督管理机构主要负责人或者其授权的其他负责人批准，可以冻结、查封，期限为六个月；因特殊原因需要延长的，每次延长期限不得超过三个月，最长期限不得超过二年；</w:t>
      </w:r>
    </w:p>
    <w:p w14:paraId="2E4A80B4">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调查操纵期货市场、内幕交易等重大违法行为时，经国务院期货监督管理机构主要负责人或者其授权的其他负责人批准，可以限制被调查事件当事人的交易，但限制的时间不得超过三个月；案情复杂的，可以延长三个月；</w:t>
      </w:r>
    </w:p>
    <w:p w14:paraId="19EB37EB">
      <w:pPr>
        <w:ind w:firstLine="632" w:firstLineChars="200"/>
        <w:rPr>
          <w:rFonts w:ascii="Times New Roman" w:hAnsi="Times New Roman" w:cs="仿宋_GB2312"/>
          <w:sz w:val="32"/>
          <w:szCs w:val="32"/>
        </w:rPr>
      </w:pPr>
      <w:r>
        <w:rPr>
          <w:rFonts w:hint="eastAsia" w:ascii="Times New Roman" w:hAnsi="Times New Roman" w:cs="仿宋_GB2312"/>
          <w:sz w:val="32"/>
          <w:szCs w:val="32"/>
        </w:rPr>
        <w:t>（八）决定并通知出境入境管理机关依法阻止涉嫌违法人员、涉嫌违法单位的主管人员和其他直接责任人员出境。</w:t>
      </w:r>
    </w:p>
    <w:p w14:paraId="21283243">
      <w:pPr>
        <w:ind w:firstLine="632" w:firstLineChars="200"/>
        <w:rPr>
          <w:rFonts w:ascii="Times New Roman" w:hAnsi="Times New Roman" w:cs="仿宋_GB2312"/>
          <w:sz w:val="32"/>
          <w:szCs w:val="32"/>
        </w:rPr>
      </w:pPr>
      <w:r>
        <w:rPr>
          <w:rFonts w:hint="eastAsia" w:ascii="Times New Roman" w:hAnsi="Times New Roman" w:cs="仿宋_GB2312"/>
          <w:sz w:val="32"/>
          <w:szCs w:val="32"/>
        </w:rPr>
        <w:t>为防范期货市场风险，维护市场秩序，国务院期货监督管理机构可以采取责令改正、监管谈话、出具警示函等措施。</w:t>
      </w:r>
    </w:p>
    <w:p w14:paraId="6300D261">
      <w:pPr>
        <w:ind w:firstLine="632" w:firstLineChars="200"/>
        <w:rPr>
          <w:rFonts w:ascii="Times New Roman" w:hAnsi="Times New Roman" w:cs="仿宋_GB2312"/>
          <w:sz w:val="32"/>
          <w:szCs w:val="32"/>
        </w:rPr>
      </w:pPr>
      <w:bookmarkStart w:id="122" w:name="第一百零七条"/>
      <w:bookmarkEnd w:id="122"/>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国务院期货监督管理机构依法履行职责，进行监督检查或者调查，其监督检查、调查的人员不得少于二人，并应当出示执法证件和检查、调查、查询等相关执法文书。监督检查、调查的人员少于二人或者未出示执法证件和有关执法文书的，被检查、调查的单位或者个人有权拒绝。</w:t>
      </w:r>
    </w:p>
    <w:p w14:paraId="6D3AB306">
      <w:pPr>
        <w:ind w:firstLine="632" w:firstLineChars="200"/>
        <w:rPr>
          <w:rFonts w:ascii="Times New Roman" w:hAnsi="Times New Roman" w:cs="仿宋_GB2312"/>
          <w:sz w:val="32"/>
          <w:szCs w:val="32"/>
        </w:rPr>
      </w:pPr>
      <w:bookmarkStart w:id="123" w:name="第一百零八条"/>
      <w:bookmarkEnd w:id="123"/>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国务院期货监督管理机构的工作人员，应当依法办事，忠于职守，公正廉洁，保守国家秘密和有关当事人的商业秘密，不得利用职务便利牟取不正当利益。</w:t>
      </w:r>
    </w:p>
    <w:p w14:paraId="366BC0F4">
      <w:pPr>
        <w:ind w:firstLine="632" w:firstLineChars="200"/>
        <w:rPr>
          <w:rFonts w:ascii="Times New Roman" w:hAnsi="Times New Roman" w:cs="仿宋_GB2312"/>
          <w:sz w:val="32"/>
          <w:szCs w:val="32"/>
        </w:rPr>
      </w:pPr>
      <w:bookmarkStart w:id="124" w:name="第一百零九条"/>
      <w:bookmarkEnd w:id="124"/>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国务院期货监督管理机构依法履行职责，被检查、调查的单位和个人应当配合，如实作出说明或者提供有关文件和资料，不得拒绝、阻碍和隐瞒。</w:t>
      </w:r>
    </w:p>
    <w:p w14:paraId="61B0209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国务院期货监督管理机构与其他相关部门，应当建立信息共享等监督管理协调配合机制。国务院期货监督管理机构依法履行职责，进行监督检查或者调查时，有关部门应当予以配合。</w:t>
      </w:r>
    </w:p>
    <w:p w14:paraId="3ACC2FBC">
      <w:pPr>
        <w:ind w:firstLine="632" w:firstLineChars="200"/>
        <w:rPr>
          <w:rFonts w:ascii="Times New Roman" w:hAnsi="Times New Roman" w:cs="仿宋_GB2312"/>
          <w:sz w:val="32"/>
          <w:szCs w:val="32"/>
        </w:rPr>
      </w:pPr>
      <w:bookmarkStart w:id="125" w:name="第一百一十条"/>
      <w:bookmarkEnd w:id="125"/>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对涉嫌期货违法、违规行为，任何单位和个人有权向国务院期货监督管理机构举报。</w:t>
      </w:r>
    </w:p>
    <w:p w14:paraId="771C75C9">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对涉嫌重大违法、违规行为的实名举报线索经查证属实的，国务院期货监督管理机构按照规定给予举报人奖励。</w:t>
      </w:r>
    </w:p>
    <w:p w14:paraId="4AE3DE82">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国务院期货监督管理机构应当对举报人的身份信息保密。</w:t>
      </w:r>
    </w:p>
    <w:p w14:paraId="4AE6F10E">
      <w:pPr>
        <w:ind w:firstLine="632" w:firstLineChars="200"/>
        <w:rPr>
          <w:rFonts w:ascii="Times New Roman" w:hAnsi="Times New Roman" w:cs="仿宋_GB2312"/>
          <w:sz w:val="32"/>
          <w:szCs w:val="32"/>
        </w:rPr>
      </w:pPr>
      <w:bookmarkStart w:id="126" w:name="第一百一十一条"/>
      <w:bookmarkEnd w:id="126"/>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国务院期货监督管理机构制定的规章、规则和监督管理工作制度应当依法公开。</w:t>
      </w:r>
    </w:p>
    <w:p w14:paraId="600BC9F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国务院期货监督管理机构依据调查结果，对期货违法行为作出的处罚决定，应当依法公开。</w:t>
      </w:r>
    </w:p>
    <w:p w14:paraId="10D25813">
      <w:pPr>
        <w:ind w:firstLine="632" w:firstLineChars="200"/>
        <w:rPr>
          <w:rFonts w:ascii="Times New Roman" w:hAnsi="Times New Roman" w:cs="仿宋_GB2312"/>
          <w:sz w:val="32"/>
          <w:szCs w:val="32"/>
        </w:rPr>
      </w:pPr>
      <w:bookmarkStart w:id="127" w:name="第一百一十二条"/>
      <w:bookmarkEnd w:id="127"/>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国务院期货监督管理机构对涉嫌期货违法的单位或者个人进行调查期间，被调查的当事人书面申请，承诺在国务院期货监督管理机构认可的期限内纠正涉嫌违法行为，赔偿有关交易者损失，消除损害或者不良影响的，国务院期货监督管理机构可以决定中止调查。被调查的当事人履行承诺的，国务院期货监督管理机构可以决定终止调查；被调查的当事人未履行承诺或者有国务院规定的其他情形的，应当恢复调查。具体办法由国务院规定。</w:t>
      </w:r>
    </w:p>
    <w:p w14:paraId="724764A2">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国务院期货监督管理机构中止或者终止调查的，应当按照规定公开相关信息。</w:t>
      </w:r>
    </w:p>
    <w:p w14:paraId="2FD86F5C">
      <w:pPr>
        <w:ind w:firstLine="632" w:firstLineChars="200"/>
        <w:rPr>
          <w:rFonts w:ascii="Times New Roman" w:hAnsi="Times New Roman" w:cs="仿宋_GB2312"/>
          <w:sz w:val="32"/>
          <w:szCs w:val="32"/>
        </w:rPr>
      </w:pPr>
      <w:bookmarkStart w:id="128" w:name="第一百一十三条"/>
      <w:bookmarkEnd w:id="128"/>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国务院期货监督管理机构依法将有关期货市场主体遵守本法的情况纳入期货市场诚信档案。</w:t>
      </w:r>
    </w:p>
    <w:p w14:paraId="763DE6E4">
      <w:pPr>
        <w:ind w:firstLine="632" w:firstLineChars="200"/>
        <w:rPr>
          <w:rFonts w:ascii="Times New Roman" w:hAnsi="Times New Roman" w:cs="仿宋_GB2312"/>
          <w:sz w:val="32"/>
          <w:szCs w:val="32"/>
        </w:rPr>
      </w:pPr>
      <w:bookmarkStart w:id="129" w:name="第一百一十四条"/>
      <w:bookmarkEnd w:id="129"/>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国务院期货监督管理机构依法履行职责，发现期货违法行为涉嫌犯罪的，应当依法将案件移送司法机关处理；发现公职人员涉嫌职务违法或者职务犯罪的，应当依法移送监察机关处理。</w:t>
      </w:r>
    </w:p>
    <w:p w14:paraId="77C4DFE6">
      <w:pPr>
        <w:ind w:firstLine="632" w:firstLineChars="200"/>
        <w:rPr>
          <w:rFonts w:ascii="Times New Roman" w:hAnsi="Times New Roman" w:cs="仿宋_GB2312"/>
          <w:sz w:val="32"/>
          <w:szCs w:val="32"/>
        </w:rPr>
      </w:pPr>
      <w:bookmarkStart w:id="130" w:name="第一百一十五条"/>
      <w:bookmarkEnd w:id="130"/>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国务院期货监督管理机构应当建立健全期货市场监测监控制度，通过专门机构加强保证金安全存管监控。</w:t>
      </w:r>
    </w:p>
    <w:p w14:paraId="7F11C7D2">
      <w:pPr>
        <w:ind w:firstLine="632" w:firstLineChars="200"/>
        <w:rPr>
          <w:rFonts w:ascii="Times New Roman" w:hAnsi="Times New Roman" w:cs="仿宋_GB2312"/>
          <w:sz w:val="32"/>
          <w:szCs w:val="32"/>
        </w:rPr>
      </w:pPr>
      <w:bookmarkStart w:id="131" w:name="第一百一十六条"/>
      <w:bookmarkEnd w:id="131"/>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为防范交易及结算的风险，期货经营机构、期货交易场所、期货结算机构和非期货经营机构结算参与人应当从业务收入中按照国务院期货监督管理机构、国务院财政部门的规定提取、管理和使用风险准备金。</w:t>
      </w:r>
    </w:p>
    <w:p w14:paraId="5F5D8F9F">
      <w:pPr>
        <w:ind w:firstLine="632" w:firstLineChars="200"/>
        <w:rPr>
          <w:rFonts w:ascii="Times New Roman" w:hAnsi="Times New Roman" w:cs="仿宋_GB2312"/>
          <w:sz w:val="32"/>
          <w:szCs w:val="32"/>
        </w:rPr>
      </w:pPr>
      <w:bookmarkStart w:id="132" w:name="第一百一十七条"/>
      <w:bookmarkEnd w:id="132"/>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期货经营机构、期货交易场所、期货结算机构、期货服务机构和非期货经营机构结算参与人等应当按照规定妥善保存与业务经营相关的资料和信息，任何人不得泄露、隐匿、伪造、篡改或者毁损。期货经营机构、期货交易场所、期货结算机构和非期货经营机构结算参与人的信息和资料的保存期限不得少于二十年；期货服务机构的信息和资料的保存期限不得少于十年。</w:t>
      </w:r>
    </w:p>
    <w:p w14:paraId="3A64E316">
      <w:pPr>
        <w:rPr>
          <w:rFonts w:ascii="Times New Roman" w:hAnsi="Times New Roman" w:eastAsia="宋体" w:cs="宋体"/>
          <w:szCs w:val="32"/>
        </w:rPr>
      </w:pPr>
    </w:p>
    <w:p w14:paraId="08E48786">
      <w:pPr>
        <w:jc w:val="center"/>
        <w:rPr>
          <w:rFonts w:ascii="Times New Roman" w:hAnsi="Times New Roman" w:eastAsia="黑体" w:cs="黑体"/>
          <w:szCs w:val="32"/>
        </w:rPr>
      </w:pPr>
      <w:bookmarkStart w:id="133" w:name="第十一章 跨境交易与监管协作"/>
      <w:bookmarkEnd w:id="133"/>
      <w:r>
        <w:rPr>
          <w:rFonts w:hint="eastAsia" w:ascii="Times New Roman" w:hAnsi="Times New Roman" w:eastAsia="黑体" w:cs="黑体"/>
          <w:szCs w:val="32"/>
        </w:rPr>
        <w:t>第十一章　跨境交易与监管协作</w:t>
      </w:r>
    </w:p>
    <w:p w14:paraId="231B63DE">
      <w:pPr>
        <w:rPr>
          <w:rFonts w:ascii="Times New Roman" w:hAnsi="Times New Roman" w:eastAsia="宋体" w:cs="宋体"/>
          <w:szCs w:val="32"/>
        </w:rPr>
      </w:pPr>
    </w:p>
    <w:p w14:paraId="3B33804B">
      <w:pPr>
        <w:ind w:firstLine="632" w:firstLineChars="200"/>
        <w:rPr>
          <w:rFonts w:ascii="Times New Roman" w:hAnsi="Times New Roman" w:cs="仿宋_GB2312"/>
          <w:sz w:val="32"/>
          <w:szCs w:val="32"/>
        </w:rPr>
      </w:pPr>
      <w:bookmarkStart w:id="134" w:name="第一百一十八条"/>
      <w:bookmarkEnd w:id="134"/>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境外期货交易场所向境内单位或者个人提供直接接入该交易场所交易系统进行交易服务的，应当向国务院期货监督管理机构申请注册，接受国务院期货监督管理机构的监督管理，国务院期货监督管理机构另有规定的除外。</w:t>
      </w:r>
    </w:p>
    <w:p w14:paraId="548CCD35">
      <w:pPr>
        <w:ind w:firstLine="632" w:firstLineChars="200"/>
        <w:rPr>
          <w:rFonts w:ascii="Times New Roman" w:hAnsi="Times New Roman" w:cs="仿宋_GB2312"/>
          <w:sz w:val="32"/>
          <w:szCs w:val="32"/>
        </w:rPr>
      </w:pPr>
      <w:bookmarkStart w:id="135" w:name="第一百一十九条"/>
      <w:bookmarkEnd w:id="135"/>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境外期货交易场所上市的期货合约、期权合约和衍生品合约，以境内期货交易场所上市的合约价格进行挂钩结算的，应当符合国务院期货监督管理机构的规定。</w:t>
      </w:r>
    </w:p>
    <w:p w14:paraId="0375EEED">
      <w:pPr>
        <w:ind w:firstLine="632" w:firstLineChars="200"/>
        <w:rPr>
          <w:rFonts w:ascii="Times New Roman" w:hAnsi="Times New Roman" w:cs="仿宋_GB2312"/>
          <w:sz w:val="32"/>
          <w:szCs w:val="32"/>
        </w:rPr>
      </w:pPr>
      <w:bookmarkStart w:id="136" w:name="第一百二十条"/>
      <w:bookmarkEnd w:id="136"/>
      <w:r>
        <w:rPr>
          <w:rFonts w:hint="eastAsia" w:ascii="Times New Roman" w:hAnsi="Times New Roman" w:eastAsia="黑体" w:cs="黑体"/>
          <w:sz w:val="32"/>
          <w:szCs w:val="32"/>
        </w:rPr>
        <w:t>第一百二十条</w:t>
      </w:r>
      <w:r>
        <w:rPr>
          <w:rFonts w:hint="eastAsia" w:ascii="Times New Roman" w:hAnsi="Times New Roman" w:cs="仿宋_GB2312"/>
          <w:sz w:val="32"/>
          <w:szCs w:val="32"/>
        </w:rPr>
        <w:t>　境内单位或者个人从事境外期货交易，应当委托具有境外期货经纪业务资格的境内期货经营机构进行，国务院另有规定的除外。</w:t>
      </w:r>
    </w:p>
    <w:p w14:paraId="78A9CF98">
      <w:pPr>
        <w:ind w:firstLine="632" w:firstLineChars="200"/>
        <w:rPr>
          <w:rFonts w:ascii="Times New Roman" w:hAnsi="Times New Roman" w:cs="仿宋_GB2312"/>
          <w:sz w:val="32"/>
          <w:szCs w:val="32"/>
        </w:rPr>
      </w:pPr>
      <w:r>
        <w:rPr>
          <w:rFonts w:hint="eastAsia" w:ascii="Times New Roman" w:hAnsi="Times New Roman" w:cs="仿宋_GB2312"/>
          <w:sz w:val="32"/>
          <w:szCs w:val="32"/>
        </w:rPr>
        <w:t>境内期货经营机构转委托境外期货经营机构从事境外期货交易的，该境外期货经营机构应当向国务院期货监督管理机构申请注册，接受国务院期货监督管理机构的监督管理，国务院期货监督管理机构另有规定的除外。</w:t>
      </w:r>
    </w:p>
    <w:p w14:paraId="1A4D1B0E">
      <w:pPr>
        <w:ind w:firstLine="632" w:firstLineChars="200"/>
        <w:rPr>
          <w:rFonts w:ascii="Times New Roman" w:hAnsi="Times New Roman" w:cs="仿宋_GB2312"/>
          <w:sz w:val="32"/>
          <w:szCs w:val="32"/>
        </w:rPr>
      </w:pPr>
      <w:bookmarkStart w:id="137" w:name="第一百二十一条"/>
      <w:bookmarkEnd w:id="137"/>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境外期货交易场所在境内设立代表机构的，应当向国务院期货监督管理机构备案。</w:t>
      </w:r>
    </w:p>
    <w:p w14:paraId="2CD15CFF">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境外期货交易场所代表机构及其工作人员，不得从事或者变相从事任何经营活动。</w:t>
      </w:r>
    </w:p>
    <w:p w14:paraId="1BEAC054">
      <w:pPr>
        <w:ind w:firstLine="632" w:firstLineChars="200"/>
        <w:rPr>
          <w:rFonts w:ascii="Times New Roman" w:hAnsi="Times New Roman" w:cs="仿宋_GB2312"/>
          <w:sz w:val="32"/>
          <w:szCs w:val="32"/>
        </w:rPr>
      </w:pPr>
      <w:bookmarkStart w:id="138" w:name="第一百二十二条"/>
      <w:bookmarkEnd w:id="138"/>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境外机构在境内从事期货市场营销、推介及招揽活动，应当经国务院期货监督管理机构批准，适用本法的相关规定。</w:t>
      </w:r>
    </w:p>
    <w:p w14:paraId="3CCA7A01">
      <w:pPr>
        <w:ind w:firstLine="632" w:firstLineChars="200"/>
        <w:rPr>
          <w:rFonts w:ascii="Times New Roman" w:hAnsi="Times New Roman" w:cs="仿宋_GB2312"/>
          <w:sz w:val="32"/>
          <w:szCs w:val="32"/>
        </w:rPr>
      </w:pPr>
      <w:r>
        <w:rPr>
          <w:rFonts w:hint="eastAsia" w:ascii="Times New Roman" w:hAnsi="Times New Roman" w:cs="仿宋_GB2312"/>
          <w:sz w:val="32"/>
          <w:szCs w:val="32"/>
        </w:rPr>
        <w:t>境内机构为境外机构在境内从事期货市场营销、推介及招揽活动，应当经国务院期货监督管理机构批准。</w:t>
      </w:r>
    </w:p>
    <w:p w14:paraId="67CB917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任何单位或者个人不得从事违反前两款规定的期货市场营销、推介及招揽活动。</w:t>
      </w:r>
    </w:p>
    <w:p w14:paraId="1A6D4F59">
      <w:pPr>
        <w:ind w:firstLine="632" w:firstLineChars="200"/>
        <w:rPr>
          <w:rFonts w:ascii="Times New Roman" w:hAnsi="Times New Roman" w:cs="仿宋_GB2312"/>
          <w:sz w:val="32"/>
          <w:szCs w:val="32"/>
        </w:rPr>
      </w:pPr>
      <w:bookmarkStart w:id="139" w:name="第一百二十三条"/>
      <w:bookmarkEnd w:id="139"/>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国务院期货监督管理机构可以和境外期货监督管理机构建立监督管理合作机制，或者加入国际组织，实施跨境监督管理。</w:t>
      </w:r>
    </w:p>
    <w:p w14:paraId="622AEE4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国务院期货监督管理机构应境外期货监督管理机构请求提供协助的，应当遵循国家法律、法规的规定和对等互惠的原则，不得泄露国家秘密，不得损害国家利益和社会公共利益。</w:t>
      </w:r>
    </w:p>
    <w:p w14:paraId="724A0EEB">
      <w:pPr>
        <w:ind w:firstLine="632" w:firstLineChars="200"/>
        <w:rPr>
          <w:rFonts w:ascii="Times New Roman" w:hAnsi="Times New Roman" w:cs="仿宋_GB2312"/>
          <w:sz w:val="32"/>
          <w:szCs w:val="32"/>
        </w:rPr>
      </w:pPr>
      <w:bookmarkStart w:id="140" w:name="第一百二十四条"/>
      <w:bookmarkEnd w:id="140"/>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国务院期货监督管理机构可以按照与境外期货监督管理机构达成的监管合作安排，接受境外期货监督管理机构的请求，依照本法规定的职责和程序为其进行调查取证。境外期货监督管理机构应当提供有关案件材料，并说明其正在就被调查当事人涉嫌违反请求方当地期货法律法规的行为进行调查。境外期货监督管理机构不得在中华人民共和国境内直接进行调查取证等活动。</w:t>
      </w:r>
    </w:p>
    <w:p w14:paraId="5FF94A85">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未经国务院期货监督管理机构和国务院有关主管部门同意，任何单位和个人不得擅自向境外监督管理机构提供与期货业务活动有关的文件和资料。</w:t>
      </w:r>
    </w:p>
    <w:p w14:paraId="0CA3E7A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国务院期货监督管理机构可以依照与境外期货监督管理机构达成的监管合作安排，请求境外期货监督管理机构进行调查取证。</w:t>
      </w:r>
    </w:p>
    <w:p w14:paraId="7AA9223D">
      <w:pPr>
        <w:rPr>
          <w:rFonts w:ascii="Times New Roman" w:hAnsi="Times New Roman" w:eastAsia="宋体" w:cs="宋体"/>
          <w:szCs w:val="32"/>
        </w:rPr>
      </w:pPr>
    </w:p>
    <w:p w14:paraId="15D6754F">
      <w:pPr>
        <w:jc w:val="center"/>
        <w:rPr>
          <w:rFonts w:ascii="Times New Roman" w:hAnsi="Times New Roman" w:eastAsia="黑体" w:cs="黑体"/>
          <w:szCs w:val="32"/>
        </w:rPr>
      </w:pPr>
      <w:bookmarkStart w:id="141" w:name="第十二章 法律责任"/>
      <w:bookmarkEnd w:id="141"/>
      <w:r>
        <w:rPr>
          <w:rFonts w:hint="eastAsia" w:ascii="Times New Roman" w:hAnsi="Times New Roman" w:eastAsia="黑体" w:cs="黑体"/>
          <w:szCs w:val="32"/>
        </w:rPr>
        <w:t>第十二章　法律责任</w:t>
      </w:r>
    </w:p>
    <w:p w14:paraId="4E8B776A">
      <w:pPr>
        <w:rPr>
          <w:rFonts w:ascii="Times New Roman" w:hAnsi="Times New Roman" w:eastAsia="宋体" w:cs="宋体"/>
          <w:szCs w:val="32"/>
        </w:rPr>
      </w:pPr>
      <w:bookmarkStart w:id="174" w:name="_GoBack"/>
      <w:bookmarkEnd w:id="174"/>
    </w:p>
    <w:p w14:paraId="1AF8CA0D">
      <w:pPr>
        <w:ind w:firstLine="632" w:firstLineChars="200"/>
        <w:rPr>
          <w:rFonts w:ascii="Times New Roman" w:hAnsi="Times New Roman" w:cs="仿宋_GB2312"/>
          <w:sz w:val="32"/>
          <w:szCs w:val="32"/>
        </w:rPr>
      </w:pPr>
      <w:bookmarkStart w:id="142" w:name="第一百二十五条"/>
      <w:bookmarkEnd w:id="142"/>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违反本法第十二条的规定，操纵期货市场或者衍生品市场的，责令改正，没收违法所得，并处以违法所得一倍以上十倍以下的罚款；没有违法所得或者违法所得不足一百万元的，处以一百万元以上一千万元以下的罚款。单位操纵市场的，还应当对直接负责的主管人员和其他直接责任人员给予警告，并处以五十万元以上五百万元以下的罚款。</w:t>
      </w:r>
    </w:p>
    <w:p w14:paraId="7C526A6E">
      <w:pPr>
        <w:ind w:firstLine="632" w:firstLineChars="200"/>
        <w:rPr>
          <w:rFonts w:ascii="Times New Roman" w:hAnsi="Times New Roman" w:cs="仿宋_GB2312"/>
          <w:sz w:val="32"/>
          <w:szCs w:val="32"/>
        </w:rPr>
      </w:pPr>
      <w:r>
        <w:rPr>
          <w:rFonts w:hint="eastAsia" w:ascii="Times New Roman" w:hAnsi="Times New Roman" w:cs="仿宋_GB2312"/>
          <w:sz w:val="32"/>
          <w:szCs w:val="32"/>
        </w:rPr>
        <w:t>操纵市场行为给交易者造成损失的，应当依法承担赔偿责任。</w:t>
      </w:r>
    </w:p>
    <w:p w14:paraId="0B195702">
      <w:pPr>
        <w:ind w:firstLine="632" w:firstLineChars="200"/>
        <w:rPr>
          <w:rFonts w:ascii="Times New Roman" w:hAnsi="Times New Roman" w:cs="仿宋_GB2312"/>
          <w:sz w:val="32"/>
          <w:szCs w:val="32"/>
        </w:rPr>
      </w:pPr>
      <w:bookmarkStart w:id="143" w:name="第一百二十六条"/>
      <w:bookmarkEnd w:id="143"/>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违反本法第十三条的规定从事内幕交易的，责令改正，没收违法所得，并处以违法所得一倍以上十倍以下的罚款；没有违法所得或者违法所得不足五十万元的，处以五十万元以上五百万元以下的罚款。单位从事内幕交易的，还应当对直接负责的主管人员和其他直接责任人员给予警告，并处以二十万元以上二百万元以下的罚款。</w:t>
      </w:r>
    </w:p>
    <w:p w14:paraId="440425D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国务院期货监督管理机构、国务院授权的部门、期货交易场所、期货结算机构的工作人员从事内幕交易的，从重处罚。</w:t>
      </w:r>
    </w:p>
    <w:p w14:paraId="363F4BC9">
      <w:pPr>
        <w:ind w:firstLine="632" w:firstLineChars="200"/>
        <w:rPr>
          <w:rFonts w:ascii="Times New Roman" w:hAnsi="Times New Roman" w:cs="仿宋_GB2312"/>
          <w:sz w:val="32"/>
          <w:szCs w:val="32"/>
        </w:rPr>
      </w:pPr>
      <w:r>
        <w:rPr>
          <w:rFonts w:hint="eastAsia" w:ascii="Times New Roman" w:hAnsi="Times New Roman" w:cs="仿宋_GB2312"/>
          <w:sz w:val="32"/>
          <w:szCs w:val="32"/>
        </w:rPr>
        <w:t>内幕交易行为给交易者造成损失的，应当依法承担赔偿责任。</w:t>
      </w:r>
    </w:p>
    <w:p w14:paraId="6FEC1B2B">
      <w:pPr>
        <w:ind w:firstLine="632" w:firstLineChars="200"/>
        <w:rPr>
          <w:rFonts w:ascii="Times New Roman" w:hAnsi="Times New Roman" w:cs="仿宋_GB2312"/>
          <w:sz w:val="32"/>
          <w:szCs w:val="32"/>
        </w:rPr>
      </w:pPr>
      <w:bookmarkStart w:id="144" w:name="第一百二十七条"/>
      <w:bookmarkEnd w:id="144"/>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违反本法第十六条第一款、第三款的规定，编造、传播虚假信息或者误导性信息，扰乱期货市场、衍生品市场的，没收违法所得，并处以违法所得一倍以上十倍以下的罚款；没有违法所得或者违法所得不足二十万元的，处以二十万元以上二百万元以下的罚款。对直接负责的主管人员和其他直接责任人员给予警告，并处以十万元以上一百万元以下的罚款。</w:t>
      </w:r>
    </w:p>
    <w:p w14:paraId="0E6D9DC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违反本法第十六条第二款的规定，在期货交易、衍生品交易活动中作出虚假陈述或者信息误导的，责令改正，处以二十万元以上二百万元以下的罚款；属于国家工作人员的，还应当依法给予处分。</w:t>
      </w:r>
    </w:p>
    <w:p w14:paraId="07B67CF7">
      <w:pPr>
        <w:ind w:firstLine="632" w:firstLineChars="200"/>
        <w:rPr>
          <w:rFonts w:ascii="Times New Roman" w:hAnsi="Times New Roman" w:cs="仿宋_GB2312"/>
          <w:sz w:val="32"/>
          <w:szCs w:val="32"/>
        </w:rPr>
      </w:pPr>
      <w:r>
        <w:rPr>
          <w:rFonts w:hint="eastAsia" w:ascii="Times New Roman" w:hAnsi="Times New Roman" w:cs="仿宋_GB2312"/>
          <w:sz w:val="32"/>
          <w:szCs w:val="32"/>
        </w:rPr>
        <w:t>传播媒介及其从事期货市场、衍生品市场信息报道的工作人员违反本法第十六条第三款的规定，从事与其工作职责发生利益冲突的期货交易、衍生品交易的，没收违法所得，并处以违法所得一倍以下的罚款，没有违法所得或者违法所得不足十万元的，处以十万元以下的罚款。</w:t>
      </w:r>
    </w:p>
    <w:p w14:paraId="00CB3A4A">
      <w:pPr>
        <w:ind w:firstLine="632" w:firstLineChars="200"/>
        <w:rPr>
          <w:rFonts w:ascii="Times New Roman" w:hAnsi="Times New Roman" w:cs="仿宋_GB2312"/>
          <w:sz w:val="32"/>
          <w:szCs w:val="32"/>
        </w:rPr>
      </w:pPr>
      <w:r>
        <w:rPr>
          <w:rFonts w:hint="eastAsia" w:ascii="Times New Roman" w:hAnsi="Times New Roman" w:cs="仿宋_GB2312"/>
          <w:sz w:val="32"/>
          <w:szCs w:val="32"/>
        </w:rPr>
        <w:t>编造、传播有关期货交易、衍生品交易的虚假信息，或者在期货交易、衍生品交易中作出信息误导，给交易者造成损失的，应当依法承担赔偿责任。</w:t>
      </w:r>
    </w:p>
    <w:p w14:paraId="5DD1E467">
      <w:pPr>
        <w:ind w:firstLine="632" w:firstLineChars="200"/>
        <w:rPr>
          <w:rFonts w:ascii="Times New Roman" w:hAnsi="Times New Roman" w:cs="仿宋_GB2312"/>
          <w:sz w:val="32"/>
          <w:szCs w:val="32"/>
        </w:rPr>
      </w:pPr>
      <w:bookmarkStart w:id="145" w:name="第一百二十八条"/>
      <w:bookmarkEnd w:id="145"/>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违反本法第十八条第二款的规定，出借自己的期货账户或者借用他人的期货账户从事期货交易的，责令改正，给予警告，可以处五十万元以下的罚款。</w:t>
      </w:r>
    </w:p>
    <w:p w14:paraId="69F2A560">
      <w:pPr>
        <w:ind w:firstLine="632" w:firstLineChars="200"/>
        <w:rPr>
          <w:rFonts w:ascii="Times New Roman" w:hAnsi="Times New Roman" w:cs="仿宋_GB2312"/>
          <w:sz w:val="32"/>
          <w:szCs w:val="32"/>
        </w:rPr>
      </w:pPr>
      <w:bookmarkStart w:id="146" w:name="第一百二十九条"/>
      <w:bookmarkEnd w:id="146"/>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违反本法第二十一条的规定，采取程序化交易影响期货交易场所系统安全或者正常交易秩序的，责令改正，并处以五十万元以上五百万元以下的罚款。对直接负责的主管人员和其他直接责任人员给予警告，并处以十万元以上一百万元以下的罚款。</w:t>
      </w:r>
    </w:p>
    <w:p w14:paraId="4A75CE2C">
      <w:pPr>
        <w:ind w:firstLine="632" w:firstLineChars="200"/>
        <w:rPr>
          <w:rFonts w:ascii="Times New Roman" w:hAnsi="Times New Roman" w:cs="仿宋_GB2312"/>
          <w:sz w:val="32"/>
          <w:szCs w:val="32"/>
        </w:rPr>
      </w:pPr>
      <w:bookmarkStart w:id="147" w:name="第一百三十条"/>
      <w:bookmarkEnd w:id="147"/>
      <w:r>
        <w:rPr>
          <w:rFonts w:hint="eastAsia" w:ascii="Times New Roman" w:hAnsi="Times New Roman" w:eastAsia="黑体" w:cs="黑体"/>
          <w:sz w:val="32"/>
          <w:szCs w:val="32"/>
        </w:rPr>
        <w:t>第一百三十条</w:t>
      </w:r>
      <w:r>
        <w:rPr>
          <w:rFonts w:hint="eastAsia" w:ascii="Times New Roman" w:hAnsi="Times New Roman" w:cs="仿宋_GB2312"/>
          <w:sz w:val="32"/>
          <w:szCs w:val="32"/>
        </w:rPr>
        <w:t>　违反本法第二十七条规定，未报告有关重大事项的，责令改正，给予警告，可以处一百万元以下的罚款。</w:t>
      </w:r>
    </w:p>
    <w:p w14:paraId="7EDFE981">
      <w:pPr>
        <w:ind w:firstLine="632" w:firstLineChars="200"/>
        <w:rPr>
          <w:rFonts w:ascii="Times New Roman" w:hAnsi="Times New Roman" w:cs="仿宋_GB2312"/>
          <w:sz w:val="32"/>
          <w:szCs w:val="32"/>
        </w:rPr>
      </w:pPr>
      <w:bookmarkStart w:id="148" w:name="第一百三十一条"/>
      <w:bookmarkEnd w:id="148"/>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法律、行政法规和国务院期货监督管理机构规定禁止参与期货交易的人员，违反本法第五十三条的规定，直接或者以化名、借他人名义参与期货交易的，责令改正，给予警告，没收违法所得，并处以五万元以上五十万元以下的罚款；属于国家工作人员的，还应当依法给予处分。</w:t>
      </w:r>
    </w:p>
    <w:p w14:paraId="3613A75A">
      <w:pPr>
        <w:ind w:firstLine="632" w:firstLineChars="200"/>
        <w:rPr>
          <w:rFonts w:ascii="Times New Roman" w:hAnsi="Times New Roman" w:cs="仿宋_GB2312"/>
          <w:sz w:val="32"/>
          <w:szCs w:val="32"/>
        </w:rPr>
      </w:pPr>
      <w:bookmarkStart w:id="149" w:name="第一百三十二条"/>
      <w:bookmarkEnd w:id="149"/>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非法设立期货公司，或者未经核准从事相关期货业务的，予以取缔，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w:t>
      </w:r>
    </w:p>
    <w:p w14:paraId="5A12BB2F">
      <w:pPr>
        <w:ind w:firstLine="632" w:firstLineChars="200"/>
        <w:rPr>
          <w:rFonts w:ascii="Times New Roman" w:hAnsi="Times New Roman" w:cs="仿宋_GB2312"/>
          <w:sz w:val="32"/>
          <w:szCs w:val="32"/>
        </w:rPr>
      </w:pPr>
      <w:bookmarkStart w:id="150" w:name="第一百三十三条"/>
      <w:bookmarkEnd w:id="150"/>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提交虚假申请文件或者采取其他欺诈手段骗取期货公司设立许可、重大事项变更核准或者期货经营机构期货业务许可的，撤销相关许可，没收违法所得，并处以违法所得一倍以上十倍以下的罚款；没有违法所得或者违法所得不足二十万元的，处以二十万元以上二百万元以下的罚款。对直接负责的主管人员和其他直接责任人员给予警告，并处以二十万元以上二百万元以下的罚款。</w:t>
      </w:r>
    </w:p>
    <w:p w14:paraId="2A951800">
      <w:pPr>
        <w:ind w:firstLine="632" w:firstLineChars="200"/>
        <w:rPr>
          <w:rFonts w:ascii="Times New Roman" w:hAnsi="Times New Roman" w:cs="仿宋_GB2312"/>
          <w:sz w:val="32"/>
          <w:szCs w:val="32"/>
        </w:rPr>
      </w:pPr>
      <w:bookmarkStart w:id="151" w:name="第一百三十四条"/>
      <w:bookmarkEnd w:id="151"/>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期货经营机构违反本法第四十条、第六十二条、第六十五条、第六十八条、第七十一条、第七十二条的，责令改正，给予警告，没收违法所得，并处以违法所得一倍以上十倍以下的罚款；没有违法所得或者违法所得不足二十万元的，处以二十万元以上二百万元以下的罚款；情节严重的，责令停业整顿或者吊销期货业务许可证。对直接负责的主管人员和其他直接责任人员给予警告，并处以五万元以上五十万元以下的罚款。</w:t>
      </w:r>
    </w:p>
    <w:p w14:paraId="7D48120C">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期货经营机构有前款所列违法情形，给交易者造成损失的，应当依法承担赔偿责任。</w:t>
      </w:r>
    </w:p>
    <w:p w14:paraId="0A0A44F8">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期货经营机构的主要股东、实际控制人或者其他关联人违反本法第七十一条规定的，依照本条第一款的规定处罚。</w:t>
      </w:r>
    </w:p>
    <w:p w14:paraId="7C4AFD16">
      <w:pPr>
        <w:ind w:firstLine="632" w:firstLineChars="200"/>
        <w:rPr>
          <w:rFonts w:ascii="Times New Roman" w:hAnsi="Times New Roman" w:cs="仿宋_GB2312"/>
          <w:sz w:val="32"/>
          <w:szCs w:val="32"/>
        </w:rPr>
      </w:pPr>
      <w:bookmarkStart w:id="152" w:name="第一百三十五条"/>
      <w:bookmarkEnd w:id="152"/>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期货经营机构违反本法第五十条交易者适当性管理规定，或者违反本法第六十六条规定从事经纪业务接受交易者全权委托，或者有第七十八条损害交易者利益行为的，责令改正，给予警告，没收违法所得，并处以违法所得一倍以上十倍以下的罚款；没有违法所得或者违法所得不足五十万元的，处以五十万元以上五百万元以下的罚款；情节严重的，吊销相关业务许可。对直接负责的主管人员和其他直接责任人员给予警告，并处以二十万元以上二百万元以下的罚款。</w:t>
      </w:r>
    </w:p>
    <w:p w14:paraId="13980C08">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期货经营机构有本法第七十八条规定的行为，给交易者造成损失的，应当依法承担赔偿责任。</w:t>
      </w:r>
    </w:p>
    <w:p w14:paraId="3952C648">
      <w:pPr>
        <w:ind w:firstLine="632" w:firstLineChars="200"/>
        <w:rPr>
          <w:rFonts w:ascii="Times New Roman" w:hAnsi="Times New Roman" w:cs="仿宋_GB2312"/>
          <w:sz w:val="32"/>
          <w:szCs w:val="32"/>
        </w:rPr>
      </w:pPr>
      <w:bookmarkStart w:id="153" w:name="第一百三十六条"/>
      <w:bookmarkEnd w:id="153"/>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违反本法第十一条、第八十条、第九十二条规定，非法设立期货交易场所、期货结算机构，或者以其他形式组织期货交易的，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非法设立期货交易场所的，由县级以上人民政府予以取缔。</w:t>
      </w:r>
    </w:p>
    <w:p w14:paraId="07B5A3E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违反本法第三十条规定，未经批准组织开展衍生品交易的，或者金融机构违反本法第三十一条规定，未经批准、核准开展衍生品交易的，依照前款规定处罚。</w:t>
      </w:r>
    </w:p>
    <w:p w14:paraId="23872B03">
      <w:pPr>
        <w:ind w:firstLine="632" w:firstLineChars="200"/>
        <w:rPr>
          <w:rFonts w:ascii="Times New Roman" w:hAnsi="Times New Roman" w:cs="仿宋_GB2312"/>
          <w:sz w:val="32"/>
          <w:szCs w:val="32"/>
        </w:rPr>
      </w:pPr>
      <w:bookmarkStart w:id="154" w:name="第一百三十七条"/>
      <w:bookmarkEnd w:id="154"/>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期货交易场所、期货结算机构违反本法第十七条、第四十条、第八十五条第二款规定的，责令改正，给予警告，没收违法所得，并处以违法所得一倍以上十倍以下的罚款；没有违法所得或者违法所得不足二十万元的，处以二十万元以上二百万元以下的罚款；情节严重的，责令停业整顿。对直接负责的主管人员和其他直接责任人员处以五万元以上五十万元以下的罚款。</w:t>
      </w:r>
    </w:p>
    <w:p w14:paraId="08C8F361">
      <w:pPr>
        <w:ind w:firstLine="632" w:firstLineChars="200"/>
        <w:rPr>
          <w:rFonts w:ascii="Times New Roman" w:hAnsi="Times New Roman" w:cs="仿宋_GB2312"/>
          <w:sz w:val="32"/>
          <w:szCs w:val="32"/>
        </w:rPr>
      </w:pPr>
      <w:bookmarkStart w:id="155" w:name="第一百三十八条"/>
      <w:bookmarkEnd w:id="155"/>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期货交易场所、期货结算机构违反本法第八十八条第三款规定发布价格预测信息的，责令改正，给予警告，并处以二十万元以上二百万元以下的罚款。对直接负责的主管人员和其他直接责任人员处以五万元以上五十万元以下的罚款。</w:t>
      </w:r>
    </w:p>
    <w:p w14:paraId="61D68E38">
      <w:pPr>
        <w:ind w:firstLine="632" w:firstLineChars="200"/>
        <w:rPr>
          <w:rFonts w:ascii="Times New Roman" w:hAnsi="Times New Roman" w:cs="仿宋_GB2312"/>
          <w:sz w:val="32"/>
          <w:szCs w:val="32"/>
        </w:rPr>
      </w:pPr>
      <w:bookmarkStart w:id="156" w:name="第一百三十九条"/>
      <w:bookmarkEnd w:id="156"/>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期货服务机构违反本法第九十八条的规定，从事期货服务业务未按照要求提供相关资料的，责令改正，可以处二十万元以下的罚款。</w:t>
      </w:r>
    </w:p>
    <w:p w14:paraId="4EDF9C58">
      <w:pPr>
        <w:ind w:firstLine="632" w:firstLineChars="200"/>
        <w:rPr>
          <w:rFonts w:ascii="Times New Roman" w:hAnsi="Times New Roman" w:cs="仿宋_GB2312"/>
          <w:sz w:val="32"/>
          <w:szCs w:val="32"/>
        </w:rPr>
      </w:pPr>
      <w:bookmarkStart w:id="157" w:name="第一百四十条"/>
      <w:bookmarkEnd w:id="157"/>
      <w:r>
        <w:rPr>
          <w:rFonts w:hint="eastAsia" w:ascii="Times New Roman" w:hAnsi="Times New Roman" w:eastAsia="黑体" w:cs="黑体"/>
          <w:sz w:val="32"/>
          <w:szCs w:val="32"/>
        </w:rPr>
        <w:t>第一百四十条</w:t>
      </w:r>
      <w:r>
        <w:rPr>
          <w:rFonts w:hint="eastAsia" w:ascii="Times New Roman" w:hAnsi="Times New Roman" w:cs="仿宋_GB2312"/>
          <w:sz w:val="32"/>
          <w:szCs w:val="32"/>
        </w:rPr>
        <w:t>　会计师事务所、律师事务所、资产评估机构等期货服务机构违反本法第九十九条的规定，未勤勉尽责，所制作、出具的文件有虚假记载、误导性陈述或者重大遗漏的，责令改正，没收业务收入，并处以业务收入一倍以上十倍以下的罚款；没有业务收入或者业务收入不足五十万元的，处以五十万元以上五百万元以下的罚款。对直接负责的主管人员和其他直接责任人员给予警告，并处以二十万元以上二百万元以下的罚款。</w:t>
      </w:r>
    </w:p>
    <w:p w14:paraId="7313509C">
      <w:pPr>
        <w:ind w:firstLine="632" w:firstLineChars="200"/>
        <w:rPr>
          <w:rFonts w:ascii="Times New Roman" w:hAnsi="Times New Roman" w:cs="仿宋_GB2312"/>
          <w:sz w:val="32"/>
          <w:szCs w:val="32"/>
        </w:rPr>
      </w:pPr>
      <w:r>
        <w:rPr>
          <w:rFonts w:hint="eastAsia" w:ascii="Times New Roman" w:hAnsi="Times New Roman" w:cs="仿宋_GB2312"/>
          <w:sz w:val="32"/>
          <w:szCs w:val="32"/>
        </w:rPr>
        <w:t>期货服务机构有前款所列违法行为，给他人造成损失的，依法承担赔偿责任。</w:t>
      </w:r>
    </w:p>
    <w:p w14:paraId="505DE239">
      <w:pPr>
        <w:ind w:firstLine="632" w:firstLineChars="200"/>
        <w:rPr>
          <w:rFonts w:ascii="Times New Roman" w:hAnsi="Times New Roman" w:cs="仿宋_GB2312"/>
          <w:sz w:val="32"/>
          <w:szCs w:val="32"/>
        </w:rPr>
      </w:pPr>
      <w:bookmarkStart w:id="158" w:name="第一百四十一条"/>
      <w:bookmarkEnd w:id="158"/>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交割库有本法第一百条所列行为之一的，责令改正，给予警告，没收违法所得，并处以违法所得一倍以上十倍以下的罚款；没有违法所得或者违法所得不足十万元的，处以十万元以上一百万元以下的罚款；情节严重的，责令期货交易场所暂停或者取消其交割库资格。对直接负责的主管人员和其他直接责任人员给予警告，并处以五万元以上五十万元以下的罚款。</w:t>
      </w:r>
    </w:p>
    <w:p w14:paraId="2D99AE5F">
      <w:pPr>
        <w:ind w:firstLine="632" w:firstLineChars="200"/>
        <w:rPr>
          <w:rFonts w:ascii="Times New Roman" w:hAnsi="Times New Roman" w:cs="仿宋_GB2312"/>
          <w:sz w:val="32"/>
          <w:szCs w:val="32"/>
        </w:rPr>
      </w:pPr>
      <w:bookmarkStart w:id="159" w:name="第一百四十二条"/>
      <w:bookmarkEnd w:id="159"/>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信息技术服务机构违反本法第一百零一条规定未报备案的，责令改正，可以处二十万元以下的罚款。</w:t>
      </w:r>
    </w:p>
    <w:p w14:paraId="1ED1D1AE">
      <w:pPr>
        <w:ind w:firstLine="632" w:firstLineChars="200"/>
        <w:rPr>
          <w:rFonts w:ascii="Times New Roman" w:hAnsi="Times New Roman" w:cs="仿宋_GB2312"/>
          <w:sz w:val="32"/>
          <w:szCs w:val="32"/>
        </w:rPr>
      </w:pPr>
      <w:r>
        <w:rPr>
          <w:rFonts w:hint="eastAsia" w:ascii="Times New Roman" w:hAnsi="Times New Roman" w:cs="仿宋_GB2312"/>
          <w:sz w:val="32"/>
          <w:szCs w:val="32"/>
        </w:rPr>
        <w:t>信息技术服务机构违反本法第一百零一条规定，提供的服务不符合国家及期货行业信息安全相关的技术管理规定和标准的，责令改正，没收业务收入，并处以业务收入一倍以上十倍以下的罚款；没有业务收入或者业务收入不足五十万元的，处以五十万元以上五百万元以下的罚款。对直接负责的主管人员和其他直接责任人员给予警告，并处以二十万元以上二百万元以下的罚款。</w:t>
      </w:r>
    </w:p>
    <w:p w14:paraId="19A6D4F8">
      <w:pPr>
        <w:ind w:firstLine="632" w:firstLineChars="200"/>
        <w:rPr>
          <w:rFonts w:ascii="Times New Roman" w:hAnsi="Times New Roman" w:cs="仿宋_GB2312"/>
          <w:sz w:val="32"/>
          <w:szCs w:val="32"/>
        </w:rPr>
      </w:pPr>
      <w:bookmarkStart w:id="160" w:name="第一百四十三条"/>
      <w:bookmarkEnd w:id="160"/>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违反本法第一百一十六条的规定，期货经营机构、期货交易场所、期货结算机构和非期货经营机构结算参与人未按照规定提取、管理和使用风险准备金的，责令改正，给予警告。对直接负责的主管人员和其他直接责任人员给予警告，并处以十万元以上一百万元以下的罚款。</w:t>
      </w:r>
    </w:p>
    <w:p w14:paraId="1E03BF16">
      <w:pPr>
        <w:ind w:firstLine="632" w:firstLineChars="200"/>
        <w:rPr>
          <w:rFonts w:ascii="Times New Roman" w:hAnsi="Times New Roman" w:cs="仿宋_GB2312"/>
          <w:sz w:val="32"/>
          <w:szCs w:val="32"/>
        </w:rPr>
      </w:pPr>
      <w:bookmarkStart w:id="161" w:name="第一百四十四条"/>
      <w:bookmarkEnd w:id="161"/>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违反本法第一百一十七条的规定，期货经营机构、期货交易场所、期货结算机构、期货服务机构和非期货经营机构结算参与人等未按照规定妥善保存与业务经营相关的资料和信息的，责令改正，给予警告，并处以十万元以上一百万元以下的罚款；泄露、隐匿、伪造、篡改或者毁损有关文件资料的，责令改正，给予警告，并处以二十万元以上二百万元以下的罚款；情节严重的，处以五十万元以上五百万元以下的罚款，并暂停、吊销相关业务许可或者禁止从事相关业务。对直接负责的主管人员和其他直接责任人员给予警告，并处以十万元以上一百万元以下的罚款。</w:t>
      </w:r>
    </w:p>
    <w:p w14:paraId="385A80D6">
      <w:pPr>
        <w:ind w:firstLine="632" w:firstLineChars="200"/>
        <w:rPr>
          <w:rFonts w:ascii="Times New Roman" w:hAnsi="Times New Roman" w:cs="仿宋_GB2312"/>
          <w:sz w:val="32"/>
          <w:szCs w:val="32"/>
        </w:rPr>
      </w:pPr>
      <w:bookmarkStart w:id="162" w:name="第一百四十五条"/>
      <w:bookmarkEnd w:id="162"/>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境外期货交易场所和期货经营机构违反本法第一百一十八条和第一百二十条的规定，未向国务院期货监督管理机构申请注册的，责令改正，没收违法所得，并处以违法所得一倍以上十倍以下的罚款；没有违法所得或者违法所得不足五十万元的，处以五十万元以上五百万元以下的罚款。对直接负责的主管人员和其他直接责任人员给予警告，并处以十万元以上一百万元以下的罚款。</w:t>
      </w:r>
    </w:p>
    <w:p w14:paraId="6D43C182">
      <w:pPr>
        <w:ind w:firstLine="632" w:firstLineChars="200"/>
        <w:rPr>
          <w:rFonts w:ascii="Times New Roman" w:hAnsi="Times New Roman" w:cs="仿宋_GB2312"/>
          <w:sz w:val="32"/>
          <w:szCs w:val="32"/>
        </w:rPr>
      </w:pPr>
      <w:bookmarkStart w:id="163" w:name="第一百四十六条"/>
      <w:bookmarkEnd w:id="163"/>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境内单位或者个人违反本法第一百二十条第一款规定的，责令改正，给予警告，没收违法所得，并处以十万元以上一百万元以下的罚款；情节严重的，暂停其境外期货交易。对直接负责的主管人员和其他直接责任人员给予警告，并处以五万元以上五十万元以下的罚款。</w:t>
      </w:r>
    </w:p>
    <w:p w14:paraId="2A2CB419">
      <w:pPr>
        <w:ind w:firstLine="632" w:firstLineChars="200"/>
        <w:rPr>
          <w:rFonts w:ascii="Times New Roman" w:hAnsi="Times New Roman" w:cs="仿宋_GB2312"/>
          <w:sz w:val="32"/>
          <w:szCs w:val="32"/>
        </w:rPr>
      </w:pPr>
      <w:bookmarkStart w:id="164" w:name="第一百四十七条"/>
      <w:bookmarkEnd w:id="164"/>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境外期货交易场所在境内设立的代表机构及其工作人员违反本法第一百二十一条的规定，从事或者变相从事任何经营活动的，责令改正，给予警告，没收违法所得，并处以违法所得一倍以上十倍以下的罚款；没有违法所得或者违法所得不足五十万元的，处以五十万元以上五百万元以下的罚款。对直接负责的主管人员和其他直接责任人员给予警告，并处以十万元以上一百万元以下的罚款。</w:t>
      </w:r>
    </w:p>
    <w:p w14:paraId="0DE97361">
      <w:pPr>
        <w:ind w:firstLine="632" w:firstLineChars="200"/>
        <w:rPr>
          <w:rFonts w:ascii="Times New Roman" w:hAnsi="Times New Roman" w:cs="仿宋_GB2312"/>
          <w:sz w:val="32"/>
          <w:szCs w:val="32"/>
        </w:rPr>
      </w:pPr>
      <w:bookmarkStart w:id="165" w:name="第一百四十八条"/>
      <w:bookmarkEnd w:id="165"/>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违反本法第一百二十二条的规定在境内从事市场营销、推介及招揽活动的，责令改正，给予警告，没收违法所得，并处以违法所得一倍以上十倍以下的罚款；没有违法所得或者违法所得不足五十万元的，处以五十万元以上五百万元以下的罚款。对直接负责的主管人员和其他直接责任人员给予警告，并处以十万元以上一百万元以下的罚款。</w:t>
      </w:r>
    </w:p>
    <w:p w14:paraId="01717962">
      <w:pPr>
        <w:ind w:firstLine="632" w:firstLineChars="200"/>
        <w:rPr>
          <w:rFonts w:ascii="Times New Roman" w:hAnsi="Times New Roman" w:cs="仿宋_GB2312"/>
          <w:sz w:val="32"/>
          <w:szCs w:val="32"/>
        </w:rPr>
      </w:pPr>
      <w:bookmarkStart w:id="166" w:name="第一百四十九条"/>
      <w:bookmarkEnd w:id="166"/>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拒绝、阻碍国务院期货监督管理机构或者国务院授权的部门及其工作人员依法行使监督检查、调查职权的，责令改正，处以十万元以上一百万元以下的罚款，并由公安机关依法给予治安管理处罚。</w:t>
      </w:r>
    </w:p>
    <w:p w14:paraId="25B67FF8">
      <w:pPr>
        <w:ind w:firstLine="632" w:firstLineChars="200"/>
        <w:rPr>
          <w:rFonts w:ascii="Times New Roman" w:hAnsi="Times New Roman" w:cs="仿宋_GB2312"/>
          <w:sz w:val="32"/>
          <w:szCs w:val="32"/>
        </w:rPr>
      </w:pPr>
      <w:bookmarkStart w:id="167" w:name="第一百五十条"/>
      <w:bookmarkEnd w:id="167"/>
      <w:r>
        <w:rPr>
          <w:rFonts w:hint="eastAsia" w:ascii="Times New Roman" w:hAnsi="Times New Roman" w:eastAsia="黑体" w:cs="黑体"/>
          <w:sz w:val="32"/>
          <w:szCs w:val="32"/>
        </w:rPr>
        <w:t>第一百五十条</w:t>
      </w:r>
      <w:r>
        <w:rPr>
          <w:rFonts w:hint="eastAsia" w:ascii="Times New Roman" w:hAnsi="Times New Roman" w:cs="仿宋_GB2312"/>
          <w:sz w:val="32"/>
          <w:szCs w:val="32"/>
        </w:rPr>
        <w:t>　违反法律、行政法规或者国务院期货监督管理机构的有关规定，情节严重的，国务院期货监督管理机构可以对有关责任人员采取期货市场禁入的措施。</w:t>
      </w:r>
    </w:p>
    <w:p w14:paraId="68AB53B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前款所称期货市场禁入，是指在一定期限内直至终身不得进行期货交易、从事期货业务，不得担任期货经营机构、期货交易场所、期货结算机构的董事、监事、高级管理人员或者负责人的制度。</w:t>
      </w:r>
    </w:p>
    <w:p w14:paraId="1A681ACE">
      <w:pPr>
        <w:ind w:firstLine="632" w:firstLineChars="200"/>
        <w:rPr>
          <w:rFonts w:ascii="Times New Roman" w:hAnsi="Times New Roman" w:cs="仿宋_GB2312"/>
          <w:sz w:val="32"/>
          <w:szCs w:val="32"/>
        </w:rPr>
      </w:pPr>
      <w:bookmarkStart w:id="168" w:name="第一百五十一条"/>
      <w:bookmarkEnd w:id="168"/>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本法规定的行政处罚，由国务院期货监督管理机构、国务院授权的部门按照国务院规定的职责分工作出决定；法律、行政法规另有规定的，适用其规定。</w:t>
      </w:r>
    </w:p>
    <w:p w14:paraId="56D11555">
      <w:pPr>
        <w:ind w:firstLine="632" w:firstLineChars="200"/>
        <w:rPr>
          <w:rFonts w:ascii="Times New Roman" w:hAnsi="Times New Roman" w:cs="仿宋_GB2312"/>
          <w:sz w:val="32"/>
          <w:szCs w:val="32"/>
        </w:rPr>
      </w:pPr>
      <w:bookmarkStart w:id="169" w:name="第一百五十二条"/>
      <w:bookmarkEnd w:id="169"/>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国务院期货监督管理机构或者国务院授权的部门的工作人员，不履行本法规定的职责，滥用职权、玩忽职守，利用职务便利牟取不正当利益，或者泄露所知悉的有关单位和个人的商业秘密的，依法追究法律责任。</w:t>
      </w:r>
    </w:p>
    <w:p w14:paraId="6AC9E764">
      <w:pPr>
        <w:ind w:firstLine="632" w:firstLineChars="200"/>
        <w:rPr>
          <w:rFonts w:ascii="Times New Roman" w:hAnsi="Times New Roman" w:cs="仿宋_GB2312"/>
          <w:sz w:val="32"/>
          <w:szCs w:val="32"/>
        </w:rPr>
      </w:pPr>
      <w:bookmarkStart w:id="170" w:name="第一百五十三条"/>
      <w:bookmarkEnd w:id="170"/>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违反本法规定，构成犯罪的，依法追究刑事责任。</w:t>
      </w:r>
    </w:p>
    <w:p w14:paraId="521A99EF">
      <w:pPr>
        <w:ind w:firstLine="632" w:firstLineChars="200"/>
        <w:rPr>
          <w:rFonts w:ascii="Times New Roman" w:hAnsi="Times New Roman" w:cs="仿宋_GB2312"/>
          <w:sz w:val="32"/>
          <w:szCs w:val="32"/>
        </w:rPr>
      </w:pPr>
      <w:bookmarkStart w:id="171" w:name="第一百五十四条"/>
      <w:bookmarkEnd w:id="171"/>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违反本法规定，应当承担民事赔偿责任和缴纳罚款、罚金、违法所得，违法行为人的财产不足以支付的，优先用于承担民事赔偿责任。</w:t>
      </w:r>
    </w:p>
    <w:p w14:paraId="0B95BA7B">
      <w:pPr>
        <w:rPr>
          <w:rFonts w:ascii="Times New Roman" w:hAnsi="Times New Roman" w:eastAsia="宋体" w:cs="宋体"/>
          <w:szCs w:val="32"/>
        </w:rPr>
      </w:pPr>
    </w:p>
    <w:p w14:paraId="395ECB51">
      <w:pPr>
        <w:jc w:val="center"/>
        <w:rPr>
          <w:rFonts w:ascii="Times New Roman" w:hAnsi="Times New Roman" w:eastAsia="黑体" w:cs="黑体"/>
          <w:szCs w:val="32"/>
        </w:rPr>
      </w:pPr>
      <w:bookmarkStart w:id="172" w:name="第十三章 附则"/>
      <w:bookmarkEnd w:id="172"/>
      <w:r>
        <w:rPr>
          <w:rFonts w:hint="eastAsia" w:ascii="Times New Roman" w:hAnsi="Times New Roman" w:eastAsia="黑体" w:cs="黑体"/>
          <w:szCs w:val="32"/>
        </w:rPr>
        <w:t>第十三章　附　　则</w:t>
      </w:r>
    </w:p>
    <w:p w14:paraId="774DCD2A">
      <w:pPr>
        <w:rPr>
          <w:rFonts w:ascii="Times New Roman" w:hAnsi="Times New Roman" w:eastAsia="宋体" w:cs="宋体"/>
          <w:szCs w:val="32"/>
        </w:rPr>
      </w:pPr>
    </w:p>
    <w:p w14:paraId="402B8CAD">
      <w:pPr>
        <w:ind w:firstLine="632" w:firstLineChars="200"/>
        <w:rPr>
          <w:rFonts w:ascii="Times New Roman" w:hAnsi="Times New Roman" w:cs="仿宋_GB2312"/>
          <w:sz w:val="32"/>
          <w:szCs w:val="32"/>
        </w:rPr>
      </w:pPr>
      <w:bookmarkStart w:id="173" w:name="第一百五十五条"/>
      <w:bookmarkEnd w:id="173"/>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本法自2022年8月1日起施行。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1F70DE"/>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49</Pages>
  <Words>22511</Words>
  <Characters>22518</Characters>
  <Lines>87</Lines>
  <Paragraphs>24</Paragraphs>
  <TotalTime>45</TotalTime>
  <ScaleCrop>false</ScaleCrop>
  <LinksUpToDate>false</LinksUpToDate>
  <CharactersWithSpaces>22715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2025-05-20T01:54:11Z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