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未成年人保护法"/>
      <w:bookmarkEnd w:id="0"/>
      <w:r>
        <w:rPr>
          <w:rFonts w:ascii="方正小标宋简体" w:eastAsia="方正小标宋简体" w:hAnsi="方正小标宋简体" w:cs="方正小标宋简体" w:hint="eastAsia"/>
          <w:color w:val="333333"/>
          <w:sz w:val="44"/>
          <w:szCs w:val="44"/>
          <w:shd w:val="clear" w:color="auto" w:fill="FFFFFF"/>
        </w:rPr>
        <w:t>中华人民共和国未成年人保护法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（1991年9月4日第七届全国人民代表大会常务委员会第二十一次会议通过　2006年12月29日第十届全国人民代表大会常务委员会第二十五次会议第一次修订　根据2012年10月26日第十一届全国人民代表大会常务委员会第二十九次会议《关于修改〈中华人民共和国未成年人保护法〉的决定》第一次修正　2020年10月17日第十三届全国人民代表大会常务委员会第二十二次会议第二次修订　根据2024年4月26日第十四届全国人民代表大会常务委员会第九次会议《关于修改〈中华人民共和国农业技术推广法〉、〈中华人民共和国未成年人保护法〉、〈中华人民共和国生物安全法〉的决定》第二次修正）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网络保护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政府保护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司法保护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未成年人身心健康，保障未成年人合法权益，促进未成年人德智体美劳全面发展，培养有理想、有道德、有文化、有纪律的社会主义建设者和接班人，培养担当民族复兴大任的时代新人，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本法所称未成年人是指未满十八周岁的公民。</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国家保障未成年人的生存权、发展权、受保护权、参与权等权利。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未成年人依法平等地享有各项权利，不因本人及其父母或者其他监护人的民族、种族、性别、户籍、职业、宗教信仰、教育程度、家庭状况、身心健康状况等受到歧视。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保护未成年人，应当坚持最有利于未成年人的原则。处理涉及未成年人事项，应当符合下列要求：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（一）给予未成年人特殊、优先保护；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（二）尊重未成年人人格尊严；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（三）保护未成年人隐私权和个人信息；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（四）适应未成年人身心健康发展的规律和特点；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（五）听取未成年人的意见；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（六）保护与教育相结合。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践行社会主义核心价值观。</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保护未成年人，是国家机关、武装力量、政党、人民团体、企业事业单位、社会组织、城乡基层群众性自治组织、未成年人的监护人以及其他成年人的共同责任。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国家、社会、学校和家庭应当教育和帮助未成年人维护自身合法权益，增强自我保护的意识和能力。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未成年人的父母或者其他监护人依法对未成年人承担监护职责。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国家采取措施指导、支持、帮助和监督未成年人的父母或者其他监护人履行监护职责。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县级以上人民政府应当将未成年人保护工作纳入国民经济和社会发展规划，相关经费纳入本级政府预算。</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各级人民政府应当重视和加强未成年人保护工作。县级以上人民政府负责妇女儿童工作的机构，负责未成年人保护工作的组织、协调、指导、督促，有关部门在各自职责范围内做好相关工作。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任何组织或者个人发现不利于未成年人身心健康或者侵犯未成年人合法权益的情形，都有权劝阻、制止或者向公安、民政、教育等有关部门提出检举、控告。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国家机关、居民委员会、村民委员会、密切接触未成年人的单位及其工作人员，在工作中发现未成年人身心健康受到侵害、疑似受到侵害或者面临其他危险情形的，应当立即向公安、民政、教育等有关部门报告。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有关部门接到涉及未成年人的检举、控告或者报告，应当依法及时受理、处置，并以适当方式将处理结果告知相关单位和人员。</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国家鼓励和支持未成年人保护方面的科学研究，建设相关学科、设置相关专业，加强人才培养。</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国家建立健全未成年人统计调查制度，开展未成年人健康、受教育等状况的统计、调查和分析，发布未成年人保护的有关信息。</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国家对保护未成年人有显著成绩的组织和个人给予表彰和奖励。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家庭保护"/>
      <w:bookmarkEnd w:id="18"/>
      <w:r>
        <w:rPr>
          <w:rFonts w:ascii="Times New Roman" w:eastAsia="黑体" w:hAnsi="Times New Roman" w:cs="黑体" w:hint="eastAsia"/>
          <w:szCs w:val="32"/>
        </w:rPr>
        <w:t>第二章　家庭保护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未成年人的父母或者其他监护人应当学习家庭教育知识，接受家庭教育指导，创造良好、和睦、文明的家庭环境。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共同生活的其他成年家庭成员应当协助未成年人的父母或者其他监护人抚养、教育和保护未成年人。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未成年人的父母或者其他监护人应当履行下列监护职责：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（一）为未成年人提供生活、健康、安全等方面的保障；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（二）关注未成年人的生理、心理状况和情感需求；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（三）教育和引导未成年人遵纪守法、勤俭节约，养成良好的思想品德和行为习惯；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（四）对未成年人进行安全教育，提高未成年人的自我保护意识和能力；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（五）尊重未成年人受教育的权利，保障适龄未成年人依法接受并完成义务教育；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（六）保障未成年人休息、娱乐和体育锻炼的时间，引导未成年人进行有益身心健康的活动；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（七）妥善管理和保护未成年人的财产；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（八）依法代理未成年人实施民事法律行为；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（九）预防和制止未成年人的不良行为和违法犯罪行为，并进行合理管教；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（十）其他应当履行的监护职责。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（一）虐待、遗弃、非法送养未成年人或者对未成年人实施家庭暴力；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（二）放任、教唆或者利用未成年人实施违法犯罪行为；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（三）放任、唆使未成年人参与邪教、迷信活动或者接受恐怖主义、分裂主义、极端主义等侵害；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（四）放任、唆使未成年人吸烟（含电子烟，下同）、饮酒、赌博、流浪乞讨或者欺凌他人；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（五）放任或者迫使应当接受义务教育的未成年人失学、辍学；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（六）放任未成年人沉迷网络，接触危害或者可能影响其身心健康的图书、报刊、电影、广播电视节目、音像制品、电子出版物和网络信息等；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（七）放任未成年人进入营业性娱乐场所、酒吧、互联网上网服务营业场所等不适宜未成年人活动的场所；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（八）允许或者迫使未成年人从事国家规定以外的劳动；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（九）允许、迫使未成年人结婚或者为未成年人订立婚约；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（十）违法处分、侵吞未成年人的财产或者利用未成年人牟取不正当利益；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（十一）其他侵犯未成年人身心健康、财产权益或者不依法履行未成年人保护义务的行为。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为未成年人提供安全的家庭生活环境，及时排除引发触电、烫伤、跌落等伤害的安全隐患；采取配备儿童安全座椅、教育未成年人遵守交通规则等措施，防止未成年人受到交通事故的伤害；提高户外安全保护意识，避免未成年人发生溺水、动物伤害等事故。</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未成年人的父母或者其他监护人应当根据未成年人的年龄和智力发展状况，在作出与未成年人权益有关的决定前，听取未成年人的意见，充分考虑其真实意愿。</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未成年人的父母或者其他监护人发现未成年人身心健康受到侵害、疑似受到侵害或者其他合法权益受到侵犯的，应当及时了解情况并采取保护措施；情况严重的，应当立即向公安、民政、教育等部门报告。</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得使未满八周岁或者由于身体、心理原因需要特别照顾的未成年人处于无人看护状态，或者将其交由无民事行为能力、限制民事行为能力、患有严重传染性疾病或者其他不适宜的人员临时照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未成年人的父母或者其他监护人不得使未满十六周岁的未成年人脱离监护单独生活。</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未成年人的父母或者其他监护人因外出务工等原因在一定期限内不能完全履行监护职责的，应当委托具有照护能力的完全民事行为能力人代为照护；无正当理由的，不得委托他人代为照护。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未成年人的父母或者其他监护人在确定被委托人时，应当综合考虑其道德品质、家庭状况、身心健康状况、与未成年人生活情感上的联系等情况，并听取有表达意愿能力未成年人的意见。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具有下列情形之一的，不得作为被委托人：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（一）曾实施性侵害、虐待、遗弃、拐卖、暴力伤害等违法犯罪行为；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（二）有吸毒、酗酒、赌博等恶习；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（三）曾拒不履行或者长期怠于履行监护、照护职责；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（四）其他不适宜担任被委托人的情形。</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及时将委托照护情况书面告知未成年人所在学校、幼儿园和实际居住地的居民委员会、村民委员会，加强和未成年人所在学校、幼儿园的沟通；与未成年人、被委托人至少每周联系和交流一次，了解未成年人的生活、学习、心理等情况，并给予未成年人亲情关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未成年人的父母或者其他监护人接到被委托人、居民委员会、村民委员会、学校、幼儿园等关于未成年人心理、行为异常的通知后，应当及时采取干预措施。</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未成年人的父母离婚时，应当妥善处理未成年子女的抚养、教育、探望、财产等事宜，听取有表达意愿能力未成年人的意见。不得以抢夺、藏匿未成年子女等方式争夺抚养权。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离婚后，不直接抚养未成年子女的一方应当依照协议、人民法院判决或者调解确定的时间和方式，在不影响未成年人学习、生活的情况下探望未成年子女，直接抚养的一方应当配合，但被人民法院依法中止探望权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学校保护"/>
      <w:bookmarkEnd w:id="29"/>
      <w:r>
        <w:rPr>
          <w:rFonts w:ascii="Times New Roman" w:eastAsia="黑体" w:hAnsi="Times New Roman" w:cs="黑体" w:hint="eastAsia"/>
          <w:szCs w:val="32"/>
        </w:rPr>
        <w:t>第三章　学校保护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学校应当全面贯彻国家教育方针，坚持立德树人，实施素质教育，提高教育质量，注重培养未成年学生认知能力、合作能力、创新能力和实践能力，促进未成年学生全面发展。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学校应当建立未成年学生保护工作制度，健全学生行为规范，培养未成年学生遵纪守法的良好行为习惯。</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幼儿园应当做好保育、教育工作，遵循幼儿身心发展规律，实施启蒙教育，促进幼儿在体质、智力、品德等方面和谐发展。</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学校、幼儿园的教职员工应当尊重未成年人人格尊严，不得对未成年人实施体罚、变相体罚或者其他侮辱人格尊严的行为。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学校应当保障未成年学生受教育的权利，不得违反国家规定开除、变相开除未成年学生。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学校应当对尚未完成义务教育的辍学未成年学生进行登记并劝返复学；劝返无效的，应当及时向教育行政部门书面报告。</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学校应当关心、爱护未成年学生，不得因家庭、身体、心理、学习能力等情况歧视学生。对家庭困难、身心有障碍的学生，应当提供关爱；对行为异常、学习有困难的学生，应当耐心帮助。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学校应当配合政府有关部门建立留守未成年学生、困境未成年学生的信息档案，开展关爱帮扶工作。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学校应当根据未成年学生身心发展特点，进行社会生活指导、心理健康辅导、青春期教育和生命教育。</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学校应当组织未成年学生参加与其年龄相适应的日常生活劳动、生产劳动和服务性劳动，帮助未成年学生掌握必要的劳动知识和技能，养成良好的劳动习惯。</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学校、幼儿园应当开展勤俭节约、反对浪费、珍惜粮食、文明饮食等宣传教育活动，帮助未成年人树立浪费可耻、节约为荣的意识，养成文明健康、绿色环保的生活习惯。</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学校应当与未成年学生的父母或者其他监护人互相配合，合理安排未成年学生的学习时间，保障其休息、娱乐和体育锻炼的时间。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学校不得占用国家法定节假日、休息日及寒暑假期，组织义务教育阶段的未成年学生集体补课，加重其学习负担。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幼儿园、校外培训机构不得对学龄前未成年人进行小学课程教育。</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学校、幼儿园应当提供必要的卫生保健条件，协助卫生健康部门做好在校、在园未成年人的卫生保健工作。</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学校、幼儿园应当建立安全管理制度，对未成年人进行安全教育，完善安保设施、配备安保人员，保障未成年人在校、在园期间的人身和财产安全。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学校、幼儿园不得在危及未成年人人身安全、身心健康的校舍和其他设施、场所中进行教育教学活动。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学校、幼儿园安排未成年人参加文化娱乐、社会实践等集体活动，应当保护未成年人的身心健康，防止发生人身伤害事故。</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使用校车的学校、幼儿园应当建立健全校车安全管理制度，配备安全管理人员，定期对校车进行安全检查，对校车驾驶人进行安全教育，并向未成年人讲解校车安全乘坐知识，培养未成年人校车安全事故应急处理技能。</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学校、幼儿园应当根据需要，制定应对自然灾害、事故灾难、公共卫生事件等突发事件和意外伤害的预案，配备相应设施并定期进行必要的演练。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未成年人在校内、园内或者本校、本园组织的校外、园外活动中发生人身伤害事故的，学校、幼儿园应当立即救护，妥善处理，及时通知未成年人的父母或者其他监护人，并向有关部门报告。</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学校、幼儿园不得安排未成年人参加商业性活动，不得向未成年人及其父母或者其他监护人推销或者要求其购买指定的商品和服务。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学校、幼儿园不得与校外培训机构合作为未成年人提供有偿课程辅导。</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学校应当建立学生欺凌防控工作制度，对教职员工、学生等开展防治学生欺凌的教育和培训。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对实施欺凌的未成年学生，学校应当根据欺凌行为的性质和程度，依法加强管教。对严重的欺凌行为，学校不得隐瞒，应当及时向公安机关、教育行政部门报告，并配合相关部门依法处理。</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学校、幼儿园应当建立预防性侵害、性骚扰未成年人工作制度。对性侵害、性骚扰未成年人等违法犯罪行为，学校、幼儿园不得隐瞒，应当及时向公安机关、教育行政部门报告，并配合相关部门依法处理。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学校、幼儿园应当对未成年人开展适合其年龄的性教育，提高未成年人防范性侵害、性骚扰的自我保护意识和能力。对遭受性侵害、性骚扰的未成年人，学校、幼儿园应当及时采取相关的保护措施。</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婴幼儿照护服务机构、早期教育服务机构、校外培训机构、校外托管机构等应当参照本章有关规定，根据不同年龄阶段未成年人的成长特点和规律，做好未成年人保护工作。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社会保护"/>
      <w:bookmarkEnd w:id="47"/>
      <w:r>
        <w:rPr>
          <w:rFonts w:ascii="Times New Roman" w:eastAsia="黑体" w:hAnsi="Times New Roman" w:cs="黑体" w:hint="eastAsia"/>
          <w:szCs w:val="32"/>
        </w:rPr>
        <w:t>第四章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全社会应当树立关心、爱护未成年人的良好风尚。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国家鼓励、支持和引导人民团体、企业事业单位、社会组织以及其他组织和个人，开展有利于未成年人健康成长的社会活动和服务。</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设置专人专岗负责未成年人保护工作，协助政府有关部门宣传未成年人保护方面的法律法规，指导、帮助和监督未成年人的父母或者其他监护人依法履行监护职责，建立留守未成年人、困境未成年人的信息档案并给予关爱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协助政府有关部门监督未成年人委托照护情况，发现被委托人缺乏照护能力、怠于履行照护职责等情况，应当及时向政府有关部门报告，并告知未成年人的父母或者其他监护人，帮助、督促被委托人履行照护职责。</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爱国主义教育基地、图书馆、青少年宫、儿童活动中心、儿童之家应当对未成年人免费开放；博物馆、纪念馆、科技馆、展览馆、美术馆、文化馆、社区公益性互联网上网服务场所以及影剧院、体育场馆、动物园、植物园、公园等场所，应当按照有关规定对未成年人免费或者优惠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国家鼓励爱国主义教育基地、博物馆、科技馆、美术馆等公共场馆开设未成年人专场，为未成年人提供有针对性的服务。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国家鼓励国家机关、企业事业单位、部队等开发自身教育资源，设立未成年人开放日，为未成年人主题教育、社会实践、职业体验等提供支持。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国家鼓励科研机构和科技类社会组织对未成年人开展科学普及活动。</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城市公共交通以及公路、铁路、水路、航空客运等应当按照有关规定对未成年人实施免费或者优惠票价。</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国家鼓励大型公共场所、公共交通工具、旅游景区景点等设置母婴室、婴儿护理台以及方便幼儿使用的坐便器、洗手台等卫生设施，为未成年人提供便利。</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任何组织或者个人不得违反有关规定，限制未成年人应当享有的照顾或者优惠。</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国家鼓励创作、出版、制作和传播有利于未成年人健康成长的图书、报刊、电影、广播电视节目、舞台艺术作品、音像制品、电子出版物和网络信息等。</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新闻媒体应当加强未成年人保护方面的宣传，对侵犯未成年人合法权益的行为进行舆论监督。新闻媒体采访报道涉及未成年人事件应当客观、审慎和适度，不得侵犯未成年人的名誉、隐私和其他合法权益。</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任何组织或者个人出版、发布、传播的图书、报刊、电影、广播电视节目、舞台艺术作品、音像制品、电子出版物或者网络信息，包含可能影响未成年人身心健康内容的，应当以显著方式作出提示。</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禁止制作、复制、发布、传播或者持有有关未成年人的淫秽色情物品和网络信息。</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任何组织或者个人不得刊登、播放、张贴或者散发含有危害未成年人身心健康内容的广告；不得在学校、幼儿园播放、张贴或者散发商业广告；不得利用校服、教材等发布或者变相发布商业广告。</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禁止拐卖、绑架、虐待、非法收养未成年人，禁止对未成年人实施性侵害、性骚扰。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禁止胁迫、引诱、教唆未成年人参加黑社会性质组织或者从事违法犯罪活动。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禁止胁迫、诱骗、利用未成年人乞讨。</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生产、销售用于未成年人的食品、药品、玩具、用具和游戏游艺设备、游乐设施等，应当符合国家或者行业标准，不得危害未成年人的人身安全和身心健康。上述产品的生产者应当在显著位置标明注意事项，未标明注意事项的不得销售。</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未成年人集中活动的公共场所应当符合国家或者行业安全标准，并采取相应安全保护措施。对可能存在安全风险的设施，应当定期进行维护，在显著位置设置安全警示标志并标明适龄范围和注意事项；必要时应当安排专门人员看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的商场、超市、医院、图书馆、博物馆、科技馆、游乐场、车站、码头、机场、旅游景区景点等场所运营单位应当设置搜寻走失未成年人的安全警报系统。场所运营单位接到求助后，应当立即启动安全警报系统，组织人员进行搜寻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公共场所发生突发事件时，应当优先救护未成年人。</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旅馆、宾馆、酒店等住宿经营者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不得设置营业性娱乐场所、酒吧、互联网上网服务营业场所等不适宜未成年人活动的场所。营业性歌舞娱乐场所、酒吧、互联网上网服务营业场所等不适宜未成年人活动场所的经营者，不得允许未成年人进入；游艺娱乐场所设置的电子游戏设备，除国家法定节假日外，不得向未成年人提供。经营者应当在显著位置设置未成年人禁入、限入标志；对难以判明是否是未成年人的，应当要求其出示身份证件。</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不得设置烟、酒、彩票销售网点。禁止向未成年人销售烟、酒、彩票或者兑付彩票奖金。烟、酒和彩票经营者应当在显著位置设置不向未成年人销售烟、酒或者彩票的标志；对难以判明是否是未成年人的，应当要求其出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任何人不得在学校、幼儿园和其他未成年人集中活动的公共场所吸烟、饮酒。</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禁止向未成年人提供、销售管制刀具或者其他可能致人严重伤害的器具等物品。经营者难以判明购买者是否是未成年人的，应当要求其出示身份证件。</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任何组织或者个人不得招用未满十六周岁未成年人，国家另有规定的除外。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营业性娱乐场所、酒吧、互联网上网服务营业场所等不适宜未成年人活动的场所不得招用已满十六周岁的未成年人。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招用已满十六周岁未成年人的单位和个人应当执行国家在工种、劳动时间、劳动强度和保护措施等方面的规定，不得安排其从事过重、有毒、有害等危害未成年人身心健康的劳动或者危险作业。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组织未成年人进行危害其身心健康的表演等活动。经未成年人的父母或者其他监护人同意，未成年人参与演出、节目制作等活动，活动组织方应当根据国家有关规定，保障未成年人合法权益。</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密切接触未成年人的单位招聘工作人员时，应当向公安机关、人民检察院查询应聘者是否具有性侵害、虐待、拐卖、暴力伤害等违法犯罪记录；发现其具有前述行为记录的，不得录用。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密切接触未成年人的单位应当每年定期对工作人员是否具有上述违法犯罪记录进行查询。通过查询或者其他方式发现其工作人员具有上述行为的，应当及时解聘。</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任何组织或者个人不得隐匿、毁弃、非法删除未成年人的信件、日记、电子邮件或者其他网络通讯内容。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除下列情形外，任何组织或者个人不得开拆、查阅未成年人的信件、日记、电子邮件或者其他网络通讯内容：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（一）无民事行为能力未成年人的父母或者其他监护人代未成年人开拆、查阅；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（二）因国家安全或者追查刑事犯罪依法进行检查；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（三）紧急情况下为了保护未成年人本人的人身安全。</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五章 网络保护"/>
      <w:bookmarkEnd w:id="70"/>
      <w:r>
        <w:rPr>
          <w:rFonts w:ascii="Times New Roman" w:eastAsia="黑体" w:hAnsi="Times New Roman" w:cs="黑体" w:hint="eastAsia"/>
          <w:szCs w:val="32"/>
        </w:rPr>
        <w:t>第五章　网络保护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国家、社会、学校和家庭应当加强未成年人网络素养宣传教育，培养和提高未成年人的网络素养，增强未成年人科学、文明、安全、合理使用网络的意识和能力，保障未成年人在网络空间的合法权益。</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国家鼓励和支持有利于未成年人健康成长的网络内容的创作与传播，鼓励和支持专门以未成年人为服务对象、适合未成年人身心健康特点的网络技术、产品、服务的研发、生产和使用。</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网信部门及其他有关部门应当加强对未成年人网络保护工作的监督检查，依法惩处利用网络从事危害未成年人身心健康的活动，为未成年人提供安全、健康的网络环境。</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网信部门会同公安、文化和旅游、新闻出版、电影、广播电视等部门根据保护不同年龄阶段未成年人的需要，确定可能影响未成年人身心健康网络信息的种类、范围和判断标准。</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新闻出版、教育、卫生健康、文化和旅游、网信等部门应当定期开展预防未成年人沉迷网络的宣传教育，监督网络产品和服务提供者履行预防未成年人沉迷网络的义务，指导家庭、学校、社会组织互相配合，采取科学、合理的方式对未成年人沉迷网络进行预防和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任何组织或者个人不得以侵害未成年人身心健康的方式对未成年人沉迷网络进行干预。</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学校、社区、图书馆、文化馆、青少年宫等场所为未成年人提供的互联网上网服务设施，应当安装未成年人网络保护软件或者采取其他安全保护技术措施。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智能终端产品的制造者、销售者应当在产品上安装未成年人网络保护软件，或者以显著方式告知用户未成年人网络保护软件的安装渠道和方法。</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学校应当合理使用网络开展教学活动。未经学校允许，未成年学生不得将手机等智能终端产品带入课堂，带入学校的应当统一管理。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学校发现未成年学生沉迷网络的，应当及时告知其父母或者其他监护人，共同对未成年学生进行教育和引导，帮助其恢复正常的学习生活。</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未成年人的父母或者其他监护人应当提高网络素养，规范自身使用网络的行为，加强对未成年人使用网络行为的引导和监督。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通过在智能终端产品上安装未成年人网络保护软件、选择适合未成年人的服务模式和管理功能等方式，避免未成年人接触危害或者可能影响其身心健康的网络信息，合理安排未成年人使用网络的时间，有效预防未成年人沉迷网络。</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信息处理者通过网络处理未成年人个人信息的，应当遵循合法、正当和必要的原则。处理不满十四周岁未成年人个人信息的，应当征得未成年人的父母或者其他监护人同意，但法律、行政法规另有规定的除外。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未成年人、父母或者其他监护人要求信息处理者更正、删除未成年人个人信息的，信息处理者应当及时采取措施予以更正、删除，但法律、行政法规另有规定的除外。</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网络服务提供者发现未成年人通过网络发布私密信息的，应当及时提示，并采取必要的保护措施。</w:t>
      </w:r>
    </w:p>
    <w:p>
      <w:pPr>
        <w:ind w:firstLine="640" w:firstLineChars="200"/>
        <w:rPr>
          <w:rFonts w:ascii="Times New Roman" w:hAnsi="Times New Roman" w:cs="仿宋_GB2312"/>
          <w:sz w:val="32"/>
          <w:szCs w:val="32"/>
        </w:rPr>
      </w:pPr>
      <w:bookmarkStart w:id="81" w:name="第七十四条"/>
      <w:bookmarkEnd w:id="81"/>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网络产品和服务提供者不得向未成年人提供诱导其沉迷的产品和服务。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网络游戏、网络直播、网络音视频、网络社交等网络服务提供者应当针对未成年人使用其服务设置相应的时间管理、权限管理、消费管理等功能。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以未成年人为服务对象的在线教育网络产品和服务，不得插入网络游戏链接，不得推送广告等与教学无关的信息。</w:t>
      </w:r>
    </w:p>
    <w:p>
      <w:pPr>
        <w:ind w:firstLine="640" w:firstLineChars="200"/>
        <w:rPr>
          <w:rFonts w:ascii="Times New Roman" w:hAnsi="Times New Roman" w:cs="仿宋_GB2312"/>
          <w:sz w:val="32"/>
          <w:szCs w:val="32"/>
        </w:rPr>
      </w:pPr>
      <w:bookmarkStart w:id="82" w:name="第七十五条"/>
      <w:bookmarkEnd w:id="82"/>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网络游戏经依法审批后方可运营。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国家建立统一的未成年人网络游戏电子身份认证系统。网络游戏服务提供者应当要求未成年人以真实身份信息注册并登录网络游戏。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网络游戏服务提供者应当按照国家有关规定和标准，对游戏产品进行分类，作出适龄提示，并采取技术措施，不得让未成年人接触不适宜的游戏或者游戏功能。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网络游戏服务提供者不得在每日二十二时至次日八时向未成年人提供网络游戏服务。</w:t>
      </w:r>
    </w:p>
    <w:p>
      <w:pPr>
        <w:ind w:firstLine="640" w:firstLineChars="200"/>
        <w:rPr>
          <w:rFonts w:ascii="Times New Roman" w:hAnsi="Times New Roman" w:cs="仿宋_GB2312"/>
          <w:sz w:val="32"/>
          <w:szCs w:val="32"/>
        </w:rPr>
      </w:pPr>
      <w:bookmarkStart w:id="83" w:name="第七十六条"/>
      <w:bookmarkEnd w:id="83"/>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网络直播服务提供者不得为未满十六周岁的未成年人提供网络直播发布者账号注册服务；为年满十六周岁的未成年人提供网络直播发布者账号注册服务时，应当对其身份信息进行认证，并征得其父母或者其他监护人同意。</w:t>
      </w:r>
    </w:p>
    <w:p>
      <w:pPr>
        <w:ind w:firstLine="640" w:firstLineChars="200"/>
        <w:rPr>
          <w:rFonts w:ascii="Times New Roman" w:hAnsi="Times New Roman" w:cs="仿宋_GB2312"/>
          <w:sz w:val="32"/>
          <w:szCs w:val="32"/>
        </w:rPr>
      </w:pPr>
      <w:bookmarkStart w:id="84" w:name="第七十七条"/>
      <w:bookmarkEnd w:id="84"/>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任何组织或者个人不得通过网络以文字、图片、音视频等形式，对未成年人实施侮辱、诽谤、威胁或者恶意损害形象等网络欺凌行为。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遭受网络欺凌的未成年人及其父母或者其他监护人有权通知网络服务提供者采取删除、屏蔽、断开链接等措施。网络服务提供者接到通知后，应当及时采取必要的措施制止网络欺凌行为，防止信息扩散。</w:t>
      </w:r>
    </w:p>
    <w:p>
      <w:pPr>
        <w:ind w:firstLine="640" w:firstLineChars="200"/>
        <w:rPr>
          <w:rFonts w:ascii="Times New Roman" w:hAnsi="Times New Roman" w:cs="仿宋_GB2312"/>
          <w:sz w:val="32"/>
          <w:szCs w:val="32"/>
        </w:rPr>
      </w:pPr>
      <w:bookmarkStart w:id="85" w:name="第七十八条"/>
      <w:bookmarkEnd w:id="85"/>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网络产品和服务提供者应当建立便捷、合理、有效的投诉和举报渠道，公开投诉、举报方式等信息，及时受理并处理涉及未成年人的投诉、举报。</w:t>
      </w:r>
    </w:p>
    <w:p>
      <w:pPr>
        <w:ind w:firstLine="640" w:firstLineChars="200"/>
        <w:rPr>
          <w:rFonts w:ascii="Times New Roman" w:hAnsi="Times New Roman" w:cs="仿宋_GB2312"/>
          <w:sz w:val="32"/>
          <w:szCs w:val="32"/>
        </w:rPr>
      </w:pPr>
      <w:bookmarkStart w:id="86" w:name="第七十九条"/>
      <w:bookmarkEnd w:id="86"/>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任何组织或者个人发现网络产品、服务含有危害未成年人身心健康的信息，有权向网络产品和服务提供者或者网信、公安等部门投诉、举报。</w:t>
      </w:r>
    </w:p>
    <w:p>
      <w:pPr>
        <w:ind w:firstLine="640" w:firstLineChars="200"/>
        <w:rPr>
          <w:rFonts w:ascii="Times New Roman" w:hAnsi="Times New Roman" w:cs="仿宋_GB2312"/>
          <w:sz w:val="32"/>
          <w:szCs w:val="32"/>
        </w:rPr>
      </w:pPr>
      <w:bookmarkStart w:id="87" w:name="第八十条"/>
      <w:bookmarkEnd w:id="87"/>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网络服务提供者发现用户发布、传播可能影响未成年人身心健康的信息且未作显著提示的，应当作出提示或者通知用户予以提示；未作出提示的，不得传输相关信息。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网络服务提供者发现用户发布、传播含有危害未成年人身心健康内容的信息的，应当立即停止传输相关信息，采取删除、屏蔽、断开链接等处置措施，保存有关记录，并向网信、公安等部门报告。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网络服务提供者发现用户利用其网络服务对未成年人实施违法犯罪行为的，应当立即停止向该用户提供网络服务，保存有关记录，并向公安机关报告。</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六章 政府保护"/>
      <w:bookmarkEnd w:id="88"/>
      <w:r>
        <w:rPr>
          <w:rFonts w:ascii="Times New Roman" w:eastAsia="黑体" w:hAnsi="Times New Roman" w:cs="黑体" w:hint="eastAsia"/>
          <w:szCs w:val="32"/>
        </w:rPr>
        <w:t>第六章　政府保护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县级以上人民政府承担未成年人保护协调机制具体工作的职能部门应当明确相关内设机构或者专门人员，负责承担未成年人保护工作。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乡镇人民政府和街道办事处应当设立未成年人保护工作站或者指定专门人员，及时办理未成年人相关事务；支持、指导居民委员会、村民委员会设立专人专岗，做好未成年人保护工作。</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各级人民政府应当将家庭教育指导服务纳入城乡公共服务体系，开展家庭教育知识宣传，鼓励和支持有关人民团体、企业事业单位、社会组织开展家庭教育指导服务。</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各级人民政府应当保障未成年人受教育的权利，并采取措施保障留守未成年人、困境未成年人、残疾未成年人接受义务教育。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对尚未完成义务教育的辍学未成年学生，教育行政部门应当责令父母或者其他监护人将其送入学校接受义务教育。</w:t>
      </w:r>
    </w:p>
    <w:p>
      <w:pPr>
        <w:ind w:firstLine="640" w:firstLineChars="200"/>
        <w:rPr>
          <w:rFonts w:ascii="Times New Roman" w:hAnsi="Times New Roman" w:cs="仿宋_GB2312"/>
          <w:sz w:val="32"/>
          <w:szCs w:val="32"/>
        </w:rPr>
      </w:pPr>
      <w:bookmarkStart w:id="92" w:name="第八十四条"/>
      <w:bookmarkEnd w:id="92"/>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各级人民政府应当发展托育、学前教育事业，办好婴幼儿照护服务机构、幼儿园，支持社会力量依法兴办母婴室、婴幼儿照护服务机构、幼儿园。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县级以上地方人民政府及其有关部门应当培养和培训婴幼儿照护服务机构、幼儿园的保教人员，提高其职业道德素质和业务能力。</w:t>
      </w:r>
    </w:p>
    <w:p>
      <w:pPr>
        <w:ind w:firstLine="640" w:firstLineChars="200"/>
        <w:rPr>
          <w:rFonts w:ascii="Times New Roman" w:hAnsi="Times New Roman" w:cs="仿宋_GB2312"/>
          <w:sz w:val="32"/>
          <w:szCs w:val="32"/>
        </w:rPr>
      </w:pPr>
      <w:bookmarkStart w:id="93" w:name="第八十五条"/>
      <w:bookmarkEnd w:id="93"/>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各级人民政府应当发展职业教育，保障未成年人接受职业教育或者职业技能培训，鼓励和支持人民团体、企业事业单位、社会组织为未成年人提供职业技能培训服务。</w:t>
      </w:r>
    </w:p>
    <w:p>
      <w:pPr>
        <w:ind w:firstLine="640" w:firstLineChars="200"/>
        <w:rPr>
          <w:rFonts w:ascii="Times New Roman" w:hAnsi="Times New Roman" w:cs="仿宋_GB2312"/>
          <w:sz w:val="32"/>
          <w:szCs w:val="32"/>
        </w:rPr>
      </w:pPr>
      <w:bookmarkStart w:id="94" w:name="第八十六条"/>
      <w:bookmarkEnd w:id="94"/>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障具有接受普通教育能力、能适应校园生活的残疾未成年人就近在普通学校、幼儿园接受教育；保障不具有接受普通教育能力的残疾未成年人在特殊教育学校、幼儿园接受学前教育、义务教育和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各级人民政府应当保障特殊教育学校、幼儿园的办学、办园条件，鼓励和支持社会力量举办特殊教育学校、幼儿园。</w:t>
      </w:r>
    </w:p>
    <w:p>
      <w:pPr>
        <w:ind w:firstLine="640" w:firstLineChars="200"/>
        <w:rPr>
          <w:rFonts w:ascii="Times New Roman" w:hAnsi="Times New Roman" w:cs="仿宋_GB2312"/>
          <w:sz w:val="32"/>
          <w:szCs w:val="32"/>
        </w:rPr>
      </w:pPr>
      <w:bookmarkStart w:id="95" w:name="第八十七条"/>
      <w:bookmarkEnd w:id="95"/>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地方人民政府及其有关部门应当保障校园安全，监督、指导学校、幼儿园等单位落实校园安全责任，建立突发事件的报告、处置和协调机制。</w:t>
      </w:r>
    </w:p>
    <w:p>
      <w:pPr>
        <w:ind w:firstLine="640" w:firstLineChars="200"/>
        <w:rPr>
          <w:rFonts w:ascii="Times New Roman" w:hAnsi="Times New Roman" w:cs="仿宋_GB2312"/>
          <w:sz w:val="32"/>
          <w:szCs w:val="32"/>
        </w:rPr>
      </w:pPr>
      <w:bookmarkStart w:id="96" w:name="第八十八条"/>
      <w:bookmarkEnd w:id="96"/>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公安机关和其他有关部门应当依法维护校园周边的治安和交通秩序，设置监控设备和交通安全设施，预防和制止侵害未成年人的违法犯罪行为。</w:t>
      </w:r>
    </w:p>
    <w:p>
      <w:pPr>
        <w:ind w:firstLine="640" w:firstLineChars="200"/>
        <w:rPr>
          <w:rFonts w:ascii="Times New Roman" w:hAnsi="Times New Roman" w:cs="仿宋_GB2312"/>
          <w:sz w:val="32"/>
          <w:szCs w:val="32"/>
        </w:rPr>
      </w:pPr>
      <w:bookmarkStart w:id="97" w:name="第八十九条"/>
      <w:bookmarkEnd w:id="97"/>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地方人民政府应当建立和改善适合未成年人的活动场所和设施，支持公益性未成年人活动场所和设施的建设和运行，鼓励社会力量兴办适合未成年人的活动场所和设施，并加强管理。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地方人民政府应当采取措施，鼓励和支持学校在国家法定节假日、休息日及寒暑假期将文化体育设施对未成年人免费或者优惠开放。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地方人民政府应当采取措施，防止任何组织或者个人侵占、破坏学校、幼儿园、婴幼儿照护服务机构等未成年人活动场所的场地、房屋和设施。</w:t>
      </w:r>
    </w:p>
    <w:p>
      <w:pPr>
        <w:ind w:firstLine="640" w:firstLineChars="200"/>
        <w:rPr>
          <w:rFonts w:ascii="Times New Roman" w:hAnsi="Times New Roman" w:cs="仿宋_GB2312"/>
          <w:sz w:val="32"/>
          <w:szCs w:val="32"/>
        </w:rPr>
      </w:pPr>
      <w:bookmarkStart w:id="98" w:name="第九十条"/>
      <w:bookmarkEnd w:id="98"/>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各级人民政府及其有关部门应当对未成年人进行卫生保健和营养指导，提供卫生保健服务。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依法对未成年人的疫苗预防接种进行规范，防治未成年人常见病、多发病，加强传染病防治和监督管理，做好伤害预防和干预，指导和监督学校、幼儿园、婴幼儿照护服务机构开展卫生保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教育行政部门应当加强未成年人的心理健康教育，建立未成年人心理问题的早期发现和及时干预机制。卫生健康部门应当做好未成年人心理治疗、心理危机干预以及精神障碍早期识别和诊断治疗等工作。</w:t>
      </w:r>
    </w:p>
    <w:p>
      <w:pPr>
        <w:ind w:firstLine="640" w:firstLineChars="200"/>
        <w:rPr>
          <w:rFonts w:ascii="Times New Roman" w:hAnsi="Times New Roman" w:cs="仿宋_GB2312"/>
          <w:sz w:val="32"/>
          <w:szCs w:val="32"/>
        </w:rPr>
      </w:pPr>
      <w:bookmarkStart w:id="99" w:name="第九十一条"/>
      <w:bookmarkEnd w:id="99"/>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各级人民政府及其有关部门对困境未成年人实施分类保障，采取措施满足其生活、教育、安全、医疗康复、住房等方面的基本需要。</w:t>
      </w:r>
    </w:p>
    <w:p>
      <w:pPr>
        <w:ind w:firstLine="640" w:firstLineChars="200"/>
        <w:rPr>
          <w:rFonts w:ascii="Times New Roman" w:hAnsi="Times New Roman" w:cs="仿宋_GB2312"/>
          <w:sz w:val="32"/>
          <w:szCs w:val="32"/>
        </w:rPr>
      </w:pPr>
      <w:bookmarkStart w:id="100" w:name="第九十二条"/>
      <w:bookmarkEnd w:id="100"/>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具有下列情形之一的，民政部门应当依法对未成年人进行临时监护：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（一）未成年人流浪乞讨或者身份不明，暂时查找不到父母或者其他监护人；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（二）监护人下落不明且无其他人可以担任监护人；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（三）监护人因自身客观原因或者因发生自然灾害、事故灾难、公共卫生事件等突发事件不能履行监护职责，导致未成年人监护缺失；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（四）监护人拒绝或者怠于履行监护职责，导致未成年人处于无人照料的状态；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（五）监护人教唆、利用未成年人实施违法犯罪行为，未成年人需要被带离安置；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（六）未成年人遭受监护人严重伤害或者面临人身安全威胁，需要被紧急安置；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（七）法律规定的其他情形。</w:t>
      </w:r>
    </w:p>
    <w:p>
      <w:pPr>
        <w:ind w:firstLine="640" w:firstLineChars="200"/>
        <w:rPr>
          <w:rFonts w:ascii="Times New Roman" w:hAnsi="Times New Roman" w:cs="仿宋_GB2312"/>
          <w:sz w:val="32"/>
          <w:szCs w:val="32"/>
        </w:rPr>
      </w:pPr>
      <w:bookmarkStart w:id="101" w:name="第九十三条"/>
      <w:bookmarkEnd w:id="101"/>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对临时监护的未成年人，民政部门可以采取委托亲属抚养、家庭寄养等方式进行安置，也可以交由未成年人救助保护机构或者儿童福利机构进行收留、抚养。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临时监护期间，经民政部门评估，监护人重新具备履行监护职责条件的，民政部门可以将未成年人送回监护人抚养。</w:t>
      </w:r>
    </w:p>
    <w:p>
      <w:pPr>
        <w:ind w:firstLine="640" w:firstLineChars="200"/>
        <w:rPr>
          <w:rFonts w:ascii="Times New Roman" w:hAnsi="Times New Roman" w:cs="仿宋_GB2312"/>
          <w:sz w:val="32"/>
          <w:szCs w:val="32"/>
        </w:rPr>
      </w:pPr>
      <w:bookmarkStart w:id="102" w:name="第九十四条"/>
      <w:bookmarkEnd w:id="102"/>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具有下列情形之一的，民政部门应当依法对未成年人进行长期监护：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（一）查找不到未成年人的父母或者其他监护人；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（二）监护人死亡或者被宣告死亡且无其他人可以担任监护人；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（三）监护人丧失监护能力且无其他人可以担任监护人；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（四）人民法院判决撤销监护人资格并指定由民政部门担任监护人；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（五）法律规定的其他情形。</w:t>
      </w:r>
    </w:p>
    <w:p>
      <w:pPr>
        <w:ind w:firstLine="640" w:firstLineChars="200"/>
        <w:rPr>
          <w:rFonts w:ascii="Times New Roman" w:hAnsi="Times New Roman" w:cs="仿宋_GB2312"/>
          <w:sz w:val="32"/>
          <w:szCs w:val="32"/>
        </w:rPr>
      </w:pPr>
      <w:bookmarkStart w:id="103" w:name="第九十五条"/>
      <w:bookmarkEnd w:id="103"/>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民政部门进行收养评估后，可以依法将其长期监护的未成年人交由符合条　件的申请人收养。收养关系成立后，民政部门与未成年人的监护关系终止。</w:t>
      </w:r>
    </w:p>
    <w:p>
      <w:pPr>
        <w:ind w:firstLine="640" w:firstLineChars="200"/>
        <w:rPr>
          <w:rFonts w:ascii="Times New Roman" w:hAnsi="Times New Roman" w:cs="仿宋_GB2312"/>
          <w:sz w:val="32"/>
          <w:szCs w:val="32"/>
        </w:rPr>
      </w:pPr>
      <w:bookmarkStart w:id="104" w:name="第九十六条"/>
      <w:bookmarkEnd w:id="104"/>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民政部门承担临时监护或者长期监护职责的，财政、教育、卫生健康、公安等部门应当根据各自职责予以配合。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县级以上人民政府及其民政部门应当根据需要设立未成年人救助保护机构、儿童福利机构，负责收留、抚养由民政部门监护的未成年人。</w:t>
      </w:r>
    </w:p>
    <w:p>
      <w:pPr>
        <w:ind w:firstLine="640" w:firstLineChars="200"/>
        <w:rPr>
          <w:rFonts w:ascii="Times New Roman" w:hAnsi="Times New Roman" w:cs="仿宋_GB2312"/>
          <w:sz w:val="32"/>
          <w:szCs w:val="32"/>
        </w:rPr>
      </w:pPr>
      <w:bookmarkStart w:id="105" w:name="第九十七条"/>
      <w:bookmarkEnd w:id="105"/>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开通全国统一的未成年人保护热线，及时受理、转介侵犯未成年人合法权益的投诉、举报；鼓励和支持人民团体、企业事业单位、社会组织参与建设未成年人保护服务平台、服务热线、服务站点，提供未成年人保护方面的咨询、帮助。</w:t>
      </w:r>
    </w:p>
    <w:p>
      <w:pPr>
        <w:ind w:firstLine="640" w:firstLineChars="200"/>
        <w:rPr>
          <w:rFonts w:ascii="Times New Roman" w:hAnsi="Times New Roman" w:cs="仿宋_GB2312"/>
          <w:sz w:val="32"/>
          <w:szCs w:val="32"/>
        </w:rPr>
      </w:pPr>
      <w:bookmarkStart w:id="106" w:name="第九十八条"/>
      <w:bookmarkEnd w:id="106"/>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国家建立性侵害、虐待、拐卖、暴力伤害等违法犯罪人员信息查询系统，向密切接触未成年人的单位提供免费查询服务。</w:t>
      </w:r>
    </w:p>
    <w:p>
      <w:pPr>
        <w:ind w:firstLine="640" w:firstLineChars="200"/>
        <w:rPr>
          <w:rFonts w:ascii="Times New Roman" w:hAnsi="Times New Roman" w:cs="仿宋_GB2312"/>
          <w:sz w:val="32"/>
          <w:szCs w:val="32"/>
        </w:rPr>
      </w:pPr>
      <w:bookmarkStart w:id="107" w:name="第九十九条"/>
      <w:bookmarkEnd w:id="107"/>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地方人民政府应当培育、引导和规范有关社会组织、社会工作者参与未成年人保护工作，开展家庭教育指导服务，为未成年人的心理辅导、康复救助、监护及收养评估等提供专业服务。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08" w:name="第七章 司法保护"/>
      <w:bookmarkEnd w:id="108"/>
      <w:r>
        <w:rPr>
          <w:rFonts w:ascii="Times New Roman" w:eastAsia="黑体" w:hAnsi="Times New Roman" w:cs="黑体" w:hint="eastAsia"/>
          <w:szCs w:val="32"/>
        </w:rPr>
        <w:t>第七章　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9" w:name="第一百条"/>
      <w:bookmarkEnd w:id="109"/>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公安机关、人民检察院、人民法院和司法行政部门应当依法履行职责，保障未成年人合法权益。</w:t>
      </w:r>
    </w:p>
    <w:p>
      <w:pPr>
        <w:ind w:firstLine="640" w:firstLineChars="200"/>
        <w:rPr>
          <w:rFonts w:ascii="Times New Roman" w:hAnsi="Times New Roman" w:cs="仿宋_GB2312"/>
          <w:sz w:val="32"/>
          <w:szCs w:val="32"/>
        </w:rPr>
      </w:pPr>
      <w:bookmarkStart w:id="110" w:name="第一百零一条"/>
      <w:bookmarkEnd w:id="110"/>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确定专门机构或者指定专门人员，负责办理涉及未成年人案件。办理涉及未成年人案件的人员应当经过专门培训，熟悉未成年人身心特点。专门机构或者专门人员中，应当有女性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公安机关、人民检察院、人民法院和司法行政部门应当对上述机构和人员实行与未成年人保护工作相适应的评价考核标准。</w:t>
      </w:r>
    </w:p>
    <w:p>
      <w:pPr>
        <w:ind w:firstLine="640" w:firstLineChars="200"/>
        <w:rPr>
          <w:rFonts w:ascii="Times New Roman" w:hAnsi="Times New Roman" w:cs="仿宋_GB2312"/>
          <w:sz w:val="32"/>
          <w:szCs w:val="32"/>
        </w:rPr>
      </w:pPr>
      <w:bookmarkStart w:id="111" w:name="第一百零二条"/>
      <w:bookmarkEnd w:id="111"/>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公安机关、人民检察院、人民法院和司法行政部门办理涉及未成年人案件，应当考虑未成年人身心特点和健康成长的需要，使用未成年人能够理解的语言和表达方式，听取未成年人的意见。</w:t>
      </w:r>
    </w:p>
    <w:p>
      <w:pPr>
        <w:ind w:firstLine="640" w:firstLineChars="200"/>
        <w:rPr>
          <w:rFonts w:ascii="Times New Roman" w:hAnsi="Times New Roman" w:cs="仿宋_GB2312"/>
          <w:sz w:val="32"/>
          <w:szCs w:val="32"/>
        </w:rPr>
      </w:pPr>
      <w:bookmarkStart w:id="112" w:name="第一百零三条"/>
      <w:bookmarkEnd w:id="112"/>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公安机关、人民检察院、人民法院、司法行政部门以及其他组织和个人不得披露有关案件中未成年人的姓名、影像、住所、就读学校以及其他可能识别出其身份的信息，但查找失踪、被拐卖未成年人等情形除外。</w:t>
      </w:r>
    </w:p>
    <w:p>
      <w:pPr>
        <w:ind w:firstLine="640" w:firstLineChars="200"/>
        <w:rPr>
          <w:rFonts w:ascii="Times New Roman" w:hAnsi="Times New Roman" w:cs="仿宋_GB2312"/>
          <w:sz w:val="32"/>
          <w:szCs w:val="32"/>
        </w:rPr>
      </w:pPr>
      <w:bookmarkStart w:id="113" w:name="第一百零四条"/>
      <w:bookmarkEnd w:id="113"/>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对需要法律援助或者司法救助的未成年人，法律援助机构或者公安机关、人民检察院、人民法院和司法行政部门应当给予帮助，依法为其提供法律援助或者司法救助。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法律援助机构应当指派熟悉未成年人身心特点的律师为未成年人提供法律援助服务。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法律援助机构和律师协会应当对办理未成年人法律援助案件的律师进行指导和培训。</w:t>
      </w:r>
    </w:p>
    <w:p>
      <w:pPr>
        <w:ind w:firstLine="640" w:firstLineChars="200"/>
        <w:rPr>
          <w:rFonts w:ascii="Times New Roman" w:hAnsi="Times New Roman" w:cs="仿宋_GB2312"/>
          <w:sz w:val="32"/>
          <w:szCs w:val="32"/>
        </w:rPr>
      </w:pPr>
      <w:bookmarkStart w:id="114" w:name="第一百零五条"/>
      <w:bookmarkEnd w:id="114"/>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人民检察院通过行使检察权，对涉及未成年人的诉讼活动等依法进行监督。</w:t>
      </w:r>
    </w:p>
    <w:p>
      <w:pPr>
        <w:ind w:firstLine="640" w:firstLineChars="200"/>
        <w:rPr>
          <w:rFonts w:ascii="Times New Roman" w:hAnsi="Times New Roman" w:cs="仿宋_GB2312"/>
          <w:sz w:val="32"/>
          <w:szCs w:val="32"/>
        </w:rPr>
      </w:pPr>
      <w:bookmarkStart w:id="115" w:name="第一百零六条"/>
      <w:bookmarkEnd w:id="115"/>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未成年人合法权益受到侵犯，相关组织和个人未代为提起诉讼的，人民检察院可以督促、支持其提起诉讼；涉及公共利益的，人民检察院有权提起公益诉讼。</w:t>
      </w:r>
    </w:p>
    <w:p>
      <w:pPr>
        <w:ind w:firstLine="640" w:firstLineChars="200"/>
        <w:rPr>
          <w:rFonts w:ascii="Times New Roman" w:hAnsi="Times New Roman" w:cs="仿宋_GB2312"/>
          <w:sz w:val="32"/>
          <w:szCs w:val="32"/>
        </w:rPr>
      </w:pPr>
      <w:bookmarkStart w:id="116" w:name="第一百零七条"/>
      <w:bookmarkEnd w:id="116"/>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人民法院审理继承案件，应当依法保护未成年人的继承权和受遗赠权。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人民法院审理离婚案件，涉及未成年子女抚养问题的，应当尊重已满八周岁未成年子女的真实意愿，根据双方具体情况，按照最有利于未成年子女的原则依法处理。</w:t>
      </w:r>
    </w:p>
    <w:p>
      <w:pPr>
        <w:ind w:firstLine="640" w:firstLineChars="200"/>
        <w:rPr>
          <w:rFonts w:ascii="Times New Roman" w:hAnsi="Times New Roman" w:cs="仿宋_GB2312"/>
          <w:sz w:val="32"/>
          <w:szCs w:val="32"/>
        </w:rPr>
      </w:pPr>
      <w:bookmarkStart w:id="117" w:name="第一百零八条"/>
      <w:bookmarkEnd w:id="117"/>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未成年人的父母或者其他监护人不依法履行监护职责或者严重侵犯被监护的未成年人合法权益的，人民法院可以根据有关人员或者单位的申请，依法作出人身安全保护令或者撤销监护人资格。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被撤销监护人资格的父母或者其他监护人应当依法继续负担抚养费用。</w:t>
      </w:r>
    </w:p>
    <w:p>
      <w:pPr>
        <w:ind w:firstLine="640" w:firstLineChars="200"/>
        <w:rPr>
          <w:rFonts w:ascii="Times New Roman" w:hAnsi="Times New Roman" w:cs="仿宋_GB2312"/>
          <w:sz w:val="32"/>
          <w:szCs w:val="32"/>
        </w:rPr>
      </w:pPr>
      <w:bookmarkStart w:id="118" w:name="第一百零九条"/>
      <w:bookmarkEnd w:id="118"/>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人民法院审理离婚、抚养、收养、监护、探望等案件涉及未成年人的，可以自行或者委托社会组织对未成年人的相关情况进行社会调查。</w:t>
      </w:r>
    </w:p>
    <w:p>
      <w:pPr>
        <w:ind w:firstLine="640" w:firstLineChars="200"/>
        <w:rPr>
          <w:rFonts w:ascii="Times New Roman" w:hAnsi="Times New Roman" w:cs="仿宋_GB2312"/>
          <w:sz w:val="32"/>
          <w:szCs w:val="32"/>
        </w:rPr>
      </w:pPr>
      <w:bookmarkStart w:id="119" w:name="第一百一十条"/>
      <w:bookmarkEnd w:id="119"/>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讯问未成年犯罪嫌疑人、被告人，询问未成年被害人、证人，应当依法通知其法定代理人或者其成年亲属、所在学校的代表等合适成年人到场，并采取适当方式，在适当场所进行，保障未成年人的名誉权、隐私权和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人民法院开庭审理涉及未成年人案件，未成年被害人、证人一般不出庭作证；必须出庭的，应当采取保护其隐私的技术手段和心理干预等保护措施。</w:t>
      </w:r>
    </w:p>
    <w:p>
      <w:pPr>
        <w:ind w:firstLine="640" w:firstLineChars="200"/>
        <w:rPr>
          <w:rFonts w:ascii="Times New Roman" w:hAnsi="Times New Roman" w:cs="仿宋_GB2312"/>
          <w:sz w:val="32"/>
          <w:szCs w:val="32"/>
        </w:rPr>
      </w:pPr>
      <w:bookmarkStart w:id="120" w:name="第一百一十一条"/>
      <w:bookmarkEnd w:id="120"/>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应当与其他有关政府部门、人民团体、社会组织互相配合，对遭受性侵害或者暴力伤害的未成年被害人及其家庭实施必要的心理干预、经济救助、法律援助、转学安置等保护措施。</w:t>
      </w:r>
    </w:p>
    <w:p>
      <w:pPr>
        <w:ind w:firstLine="640" w:firstLineChars="200"/>
        <w:rPr>
          <w:rFonts w:ascii="Times New Roman" w:hAnsi="Times New Roman" w:cs="仿宋_GB2312"/>
          <w:sz w:val="32"/>
          <w:szCs w:val="32"/>
        </w:rPr>
      </w:pPr>
      <w:bookmarkStart w:id="121" w:name="第一百一十二条"/>
      <w:bookmarkEnd w:id="121"/>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办理未成年人遭受性侵害或者暴力伤害案件，在询问未成年被害人、证人时，应当采取同步录音录像等措施，尽量一次完成；未成年被害人、证人是女性的，应当由女性工作人员进行。</w:t>
      </w:r>
    </w:p>
    <w:p>
      <w:pPr>
        <w:ind w:firstLine="640" w:firstLineChars="200"/>
        <w:rPr>
          <w:rFonts w:ascii="Times New Roman" w:hAnsi="Times New Roman" w:cs="仿宋_GB2312"/>
          <w:sz w:val="32"/>
          <w:szCs w:val="32"/>
        </w:rPr>
      </w:pPr>
      <w:bookmarkStart w:id="122" w:name="第一百一十三条"/>
      <w:bookmarkEnd w:id="122"/>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对违法犯罪的未成年人，实行教育、感化、挽救的方针，坚持教育为主、惩罚为辅的原则。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对违法犯罪的未成年人依法处罚后，在升学、就业等方面不得歧视。</w:t>
      </w:r>
    </w:p>
    <w:p>
      <w:pPr>
        <w:ind w:firstLine="640" w:firstLineChars="200"/>
        <w:rPr>
          <w:rFonts w:ascii="Times New Roman" w:hAnsi="Times New Roman" w:cs="仿宋_GB2312"/>
          <w:sz w:val="32"/>
          <w:szCs w:val="32"/>
        </w:rPr>
      </w:pPr>
      <w:bookmarkStart w:id="123" w:name="第一百一十四条"/>
      <w:bookmarkEnd w:id="123"/>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公安机关、人民检察院、人民法院和司法行政部门发现有关单位未尽到未成年人教育、管理、救助、看护等保护职责的，应当向该单位提出建议。被建议单位应当在一个月内作出书面回复。</w:t>
      </w:r>
    </w:p>
    <w:p>
      <w:pPr>
        <w:ind w:firstLine="640" w:firstLineChars="200"/>
        <w:rPr>
          <w:rFonts w:ascii="Times New Roman" w:hAnsi="Times New Roman" w:cs="仿宋_GB2312"/>
          <w:sz w:val="32"/>
          <w:szCs w:val="32"/>
        </w:rPr>
      </w:pPr>
      <w:bookmarkStart w:id="124" w:name="第一百一十五条"/>
      <w:bookmarkEnd w:id="124"/>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公安机关、人民检察院、人民法院和司法行政部门应当结合实际，根据涉及未成年人案件的特点，开展未成年人法治宣传教育工作。</w:t>
      </w:r>
    </w:p>
    <w:p>
      <w:pPr>
        <w:ind w:firstLine="640" w:firstLineChars="200"/>
        <w:rPr>
          <w:rFonts w:ascii="Times New Roman" w:hAnsi="Times New Roman" w:cs="仿宋_GB2312"/>
          <w:sz w:val="32"/>
          <w:szCs w:val="32"/>
        </w:rPr>
      </w:pPr>
      <w:bookmarkStart w:id="125" w:name="第一百一十六条"/>
      <w:bookmarkEnd w:id="125"/>
      <w:r>
        <w:rPr>
          <w:rFonts w:ascii="Times New Roman" w:eastAsia="黑体" w:hAnsi="Times New Roman" w:cs="黑体" w:hint="eastAsia"/>
          <w:sz w:val="32"/>
          <w:szCs w:val="32"/>
        </w:rPr>
        <w:t>第一百一十六条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国家鼓励和支持社会组织、社会工作者参与涉及未成年人案件中未成年人的心理干预、法律援助、社会调查、社会观护、教育矫治、社区矫正等工作。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6" w:name="第八章 法律责任"/>
      <w:bookmarkEnd w:id="126"/>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7" w:name="第一百一十七条"/>
      <w:bookmarkEnd w:id="127"/>
      <w:r>
        <w:rPr>
          <w:rFonts w:ascii="Times New Roman" w:eastAsia="黑体" w:hAnsi="Times New Roman" w:cs="黑体" w:hint="eastAsia"/>
          <w:sz w:val="32"/>
          <w:szCs w:val="32"/>
        </w:rPr>
        <w:t>第一百一十七条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违反本法第十一条第二款规定，未履行报告义务造成严重后果的，由上级主管部门或者所在单位对直接负责的主管人员和其他直接责任人员依法给予处分。</w:t>
      </w:r>
    </w:p>
    <w:p>
      <w:pPr>
        <w:ind w:firstLine="640" w:firstLineChars="200"/>
        <w:rPr>
          <w:rFonts w:ascii="Times New Roman" w:hAnsi="Times New Roman" w:cs="仿宋_GB2312"/>
          <w:sz w:val="32"/>
          <w:szCs w:val="32"/>
        </w:rPr>
      </w:pPr>
      <w:bookmarkStart w:id="128" w:name="第一百一十八条"/>
      <w:bookmarkEnd w:id="128"/>
      <w:r>
        <w:rPr>
          <w:rFonts w:ascii="Times New Roman" w:eastAsia="黑体" w:hAnsi="Times New Roman" w:cs="黑体" w:hint="eastAsia"/>
          <w:sz w:val="32"/>
          <w:szCs w:val="32"/>
        </w:rPr>
        <w:t>第一百一十八条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未成年人的父母或者其他监护人不依法履行监护职责或者侵犯未成年人合法权益的，由其居住地的居民委员会、村民委员会予以劝诫、制止；情节严重的，居民委员会、村民委员会应当及时向公安机关报告。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公安机关接到报告或者公安机关、人民检察院、人民法院在办理案件过程中发现未成年人的父母或者其他监护人存在上述情形的，应当予以训诫，并可以责令其接受家庭教育指导。</w:t>
      </w:r>
    </w:p>
    <w:p>
      <w:pPr>
        <w:ind w:firstLine="640" w:firstLineChars="200"/>
        <w:rPr>
          <w:rFonts w:ascii="Times New Roman" w:hAnsi="Times New Roman" w:cs="仿宋_GB2312"/>
          <w:sz w:val="32"/>
          <w:szCs w:val="32"/>
        </w:rPr>
      </w:pPr>
      <w:bookmarkStart w:id="129" w:name="第一百一十九条"/>
      <w:bookmarkEnd w:id="129"/>
      <w:r>
        <w:rPr>
          <w:rFonts w:ascii="Times New Roman" w:eastAsia="黑体" w:hAnsi="Times New Roman" w:cs="黑体" w:hint="eastAsia"/>
          <w:sz w:val="32"/>
          <w:szCs w:val="32"/>
        </w:rPr>
        <w:t>第一百一十九条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婴幼儿照护服务等机构及其教职员工违反本法第二十七条、第二十八条、第三十九条规定的，由公安、教育、卫生健康、市场监督管理等部门按照职责分工责令改正；拒不改正或者情节严重的，对直接负责的主管人员和其他直接责任人员依法给予处分。</w:t>
      </w:r>
    </w:p>
    <w:p>
      <w:pPr>
        <w:ind w:firstLine="640" w:firstLineChars="200"/>
        <w:rPr>
          <w:rFonts w:ascii="Times New Roman" w:hAnsi="Times New Roman" w:cs="仿宋_GB2312"/>
          <w:sz w:val="32"/>
          <w:szCs w:val="32"/>
        </w:rPr>
      </w:pPr>
      <w:bookmarkStart w:id="130" w:name="第一百二十条"/>
      <w:bookmarkEnd w:id="130"/>
      <w:r>
        <w:rPr>
          <w:rFonts w:ascii="Times New Roman" w:eastAsia="黑体" w:hAnsi="Times New Roman" w:cs="黑体" w:hint="eastAsia"/>
          <w:sz w:val="32"/>
          <w:szCs w:val="32"/>
        </w:rPr>
        <w:t>第一百二十条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四条、第四十五条、第四十七条规定，未给予未成年人免费或者优惠待遇的，由市场监督管理、文化和旅游、交通运输等部门按照职责分工责令限期改正，给予警告；拒不改正的，处一万元以上十万元以下罚款。</w:t>
      </w:r>
    </w:p>
    <w:p>
      <w:pPr>
        <w:ind w:firstLine="640" w:firstLineChars="200"/>
        <w:rPr>
          <w:rFonts w:ascii="Times New Roman" w:hAnsi="Times New Roman" w:cs="仿宋_GB2312"/>
          <w:sz w:val="32"/>
          <w:szCs w:val="32"/>
        </w:rPr>
      </w:pPr>
      <w:bookmarkStart w:id="131" w:name="第一百二十一条"/>
      <w:bookmarkEnd w:id="131"/>
      <w:r>
        <w:rPr>
          <w:rFonts w:ascii="Times New Roman" w:eastAsia="黑体" w:hAnsi="Times New Roman" w:cs="黑体" w:hint="eastAsia"/>
          <w:sz w:val="32"/>
          <w:szCs w:val="32"/>
        </w:rPr>
        <w:t>第一百二十一条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条、第五十一条规定的，由新闻出版、广播电视、电影、网信等部门按照职责分工责令限期改正，给予警告，没收违法所得，可以并处十万元以下罚款；拒不改正或者情节严重的，责令暂停相关业务、停产停业或者吊销营业执照、吊销相关许可证，违法所得一百万元以上的，并处违法所得一倍以上十倍以下的罚款，没有违法所得或者违法所得不足一百万元的，并处十万元以上一百万元以下罚款。</w:t>
      </w:r>
    </w:p>
    <w:p>
      <w:pPr>
        <w:ind w:firstLine="640" w:firstLineChars="200"/>
        <w:rPr>
          <w:rFonts w:ascii="Times New Roman" w:hAnsi="Times New Roman" w:cs="仿宋_GB2312"/>
          <w:sz w:val="32"/>
          <w:szCs w:val="32"/>
        </w:rPr>
      </w:pPr>
      <w:bookmarkStart w:id="132" w:name="第一百二十二条"/>
      <w:bookmarkEnd w:id="132"/>
      <w:r>
        <w:rPr>
          <w:rFonts w:ascii="Times New Roman" w:eastAsia="黑体" w:hAnsi="Times New Roman" w:cs="黑体" w:hint="eastAsia"/>
          <w:sz w:val="32"/>
          <w:szCs w:val="32"/>
        </w:rPr>
        <w:t>第一百二十二条</w:t>
      </w:r>
      <w:r>
        <w:rPr>
          <w:rFonts w:ascii="Times New Roman" w:hAnsi="Times New Roman" w:cs="仿宋_GB2312" w:hint="eastAsia"/>
          <w:sz w:val="32"/>
          <w:szCs w:val="32"/>
        </w:rPr>
        <w:t>　</w:t>
      </w:r>
      <w:r>
        <w:rPr>
          <w:rFonts w:ascii="Times New Roman" w:hAnsi="Times New Roman" w:cs="仿宋_GB2312" w:hint="eastAsia"/>
          <w:sz w:val="32"/>
          <w:szCs w:val="32"/>
        </w:rPr>
        <w:t>场所运营单位违反本法第五十六条第二款规定、住宿经营者违反本法第五十七条规定的，由市场监督管理、应急管理、公安等部门按照职责分工责令限期改正，给予警告；拒不改正或者造成严重后果的，责令停业整顿或者吊销营业执照、吊销相关许可证，并处一万元以上十万元以下罚款。</w:t>
      </w:r>
    </w:p>
    <w:p>
      <w:pPr>
        <w:ind w:firstLine="640" w:firstLineChars="200"/>
        <w:rPr>
          <w:rFonts w:ascii="Times New Roman" w:hAnsi="Times New Roman" w:cs="仿宋_GB2312"/>
          <w:sz w:val="32"/>
          <w:szCs w:val="32"/>
        </w:rPr>
      </w:pPr>
      <w:bookmarkStart w:id="133" w:name="第一百二十三条"/>
      <w:bookmarkEnd w:id="133"/>
      <w:r>
        <w:rPr>
          <w:rFonts w:ascii="Times New Roman" w:eastAsia="黑体" w:hAnsi="Times New Roman" w:cs="黑体" w:hint="eastAsia"/>
          <w:sz w:val="32"/>
          <w:szCs w:val="32"/>
        </w:rPr>
        <w:t>第一百二十三条</w:t>
      </w:r>
      <w:r>
        <w:rPr>
          <w:rFonts w:ascii="Times New Roman" w:hAnsi="Times New Roman" w:cs="仿宋_GB2312" w:hint="eastAsia"/>
          <w:sz w:val="32"/>
          <w:szCs w:val="32"/>
        </w:rPr>
        <w:t>　</w:t>
      </w:r>
      <w:r>
        <w:rPr>
          <w:rFonts w:ascii="Times New Roman" w:hAnsi="Times New Roman" w:cs="仿宋_GB2312" w:hint="eastAsia"/>
          <w:sz w:val="32"/>
          <w:szCs w:val="32"/>
        </w:rPr>
        <w:t>相关经营者违反本法第五十八条、第五十九条第一款、第六十条规定的，由文化和旅游、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p>
    <w:p>
      <w:pPr>
        <w:ind w:firstLine="640" w:firstLineChars="200"/>
        <w:rPr>
          <w:rFonts w:ascii="Times New Roman" w:hAnsi="Times New Roman" w:cs="仿宋_GB2312"/>
          <w:sz w:val="32"/>
          <w:szCs w:val="32"/>
        </w:rPr>
      </w:pPr>
      <w:bookmarkStart w:id="134" w:name="第一百二十四条"/>
      <w:bookmarkEnd w:id="134"/>
      <w:r>
        <w:rPr>
          <w:rFonts w:ascii="Times New Roman" w:eastAsia="黑体" w:hAnsi="Times New Roman" w:cs="黑体" w:hint="eastAsia"/>
          <w:sz w:val="32"/>
          <w:szCs w:val="32"/>
        </w:rPr>
        <w:t>第一百二十四条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九条第二款规定，在学校、幼儿园和其他未成年人集中活动的公共场所吸烟、饮酒的，由卫生健康、教育、市场监督管理等部门按照职责分工责令改正，给予警告，可以并处五百元以下罚款；场所管理者未及时制止的，由卫生健康、教育、市场监督管理等部门按照职责分工给予警告，并处一万元以下罚款。</w:t>
      </w:r>
    </w:p>
    <w:p>
      <w:pPr>
        <w:ind w:firstLine="640" w:firstLineChars="200"/>
        <w:rPr>
          <w:rFonts w:ascii="Times New Roman" w:hAnsi="Times New Roman" w:cs="仿宋_GB2312"/>
          <w:sz w:val="32"/>
          <w:szCs w:val="32"/>
        </w:rPr>
      </w:pPr>
      <w:bookmarkStart w:id="135" w:name="第一百二十五条"/>
      <w:bookmarkEnd w:id="135"/>
      <w:r>
        <w:rPr>
          <w:rFonts w:ascii="Times New Roman" w:eastAsia="黑体" w:hAnsi="Times New Roman" w:cs="黑体" w:hint="eastAsia"/>
          <w:sz w:val="32"/>
          <w:szCs w:val="32"/>
        </w:rPr>
        <w:t>第一百二十五条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六十一条规定的，由文化和旅游、人力资源和社会保障、市场监督管理等部门按照职责分工责令限期改正，给予警告，没收违法所得，可以并处十万元以下罚款；拒不改正或者情节严重的，责令停产停业或者吊销营业执照、吊销相关许可证，并处十万元以上一百万元以下罚款。</w:t>
      </w:r>
    </w:p>
    <w:p>
      <w:pPr>
        <w:ind w:firstLine="640" w:firstLineChars="200"/>
        <w:rPr>
          <w:rFonts w:ascii="Times New Roman" w:hAnsi="Times New Roman" w:cs="仿宋_GB2312"/>
          <w:sz w:val="32"/>
          <w:szCs w:val="32"/>
        </w:rPr>
      </w:pPr>
      <w:bookmarkStart w:id="136" w:name="第一百二十六条"/>
      <w:bookmarkEnd w:id="136"/>
      <w:r>
        <w:rPr>
          <w:rFonts w:ascii="Times New Roman" w:eastAsia="黑体" w:hAnsi="Times New Roman" w:cs="黑体" w:hint="eastAsia"/>
          <w:sz w:val="32"/>
          <w:szCs w:val="32"/>
        </w:rPr>
        <w:t>第一百二十六条</w:t>
      </w:r>
      <w:r>
        <w:rPr>
          <w:rFonts w:ascii="Times New Roman" w:hAnsi="Times New Roman" w:cs="仿宋_GB2312" w:hint="eastAsia"/>
          <w:sz w:val="32"/>
          <w:szCs w:val="32"/>
        </w:rPr>
        <w:t>　</w:t>
      </w:r>
      <w:r>
        <w:rPr>
          <w:rFonts w:ascii="Times New Roman" w:hAnsi="Times New Roman" w:cs="仿宋_GB2312" w:hint="eastAsia"/>
          <w:sz w:val="32"/>
          <w:szCs w:val="32"/>
        </w:rPr>
        <w:t>密切接触未成年人的单位违反本法第六十二条规定，未履行查询义务，或者招用、继续聘用具有相关违法犯罪记录人员的，由教育、人力资源和社会保障、市场监督管理等部门按照职责分工责令限期改正，给予警告，并处五万元以下罚款；拒不改正或者造成严重后果的，责令停业整顿或者吊销营业执照、吊销相关许可证，并处五万元以上五十万元以下罚款，对直接负责的主管人员和其他直接责任人员依法给予处分。</w:t>
      </w:r>
    </w:p>
    <w:p>
      <w:pPr>
        <w:ind w:firstLine="640" w:firstLineChars="200"/>
        <w:rPr>
          <w:rFonts w:ascii="Times New Roman" w:hAnsi="Times New Roman" w:cs="仿宋_GB2312"/>
          <w:sz w:val="32"/>
          <w:szCs w:val="32"/>
        </w:rPr>
      </w:pPr>
      <w:bookmarkStart w:id="137" w:name="第一百二十七条"/>
      <w:bookmarkEnd w:id="137"/>
      <w:r>
        <w:rPr>
          <w:rFonts w:ascii="Times New Roman" w:eastAsia="黑体" w:hAnsi="Times New Roman" w:cs="黑体" w:hint="eastAsia"/>
          <w:sz w:val="32"/>
          <w:szCs w:val="32"/>
        </w:rPr>
        <w:t>第一百二十七条</w:t>
      </w:r>
      <w:r>
        <w:rPr>
          <w:rFonts w:ascii="Times New Roman" w:hAnsi="Times New Roman" w:cs="仿宋_GB2312" w:hint="eastAsia"/>
          <w:sz w:val="32"/>
          <w:szCs w:val="32"/>
        </w:rPr>
        <w:t>　</w:t>
      </w:r>
      <w:r>
        <w:rPr>
          <w:rFonts w:ascii="Times New Roman" w:hAnsi="Times New Roman" w:cs="仿宋_GB2312" w:hint="eastAsia"/>
          <w:sz w:val="32"/>
          <w:szCs w:val="32"/>
        </w:rPr>
        <w:t>信息处理者违反本法第七十二条规定，或者网络产品和服务提供者违反本法第七十三条、第七十四条、第七十五条、第七十六条、第七十七条、第八十条规定的，由公安、网信、电信、新闻出版、广播电视、文化和旅游等有关部门按照职责分工责令改正，给予警告，没收违法所得，违法所得一百万元以上的，并处违法所得一倍以上十倍以下罚款，没有违法所得或者违法所得不足一百万元的，并处十万元以上一百万元以下罚款，对直接负责的主管人员和其他责任人员处一万元以上十万元以下罚款；拒不改正或者情节严重的，并可以责令暂停相关业务、停业整顿、关闭网站、吊销营业执照或者吊销相关许可证。</w:t>
      </w:r>
    </w:p>
    <w:p>
      <w:pPr>
        <w:ind w:firstLine="640" w:firstLineChars="200"/>
        <w:rPr>
          <w:rFonts w:ascii="Times New Roman" w:hAnsi="Times New Roman" w:cs="仿宋_GB2312"/>
          <w:sz w:val="32"/>
          <w:szCs w:val="32"/>
        </w:rPr>
      </w:pPr>
      <w:bookmarkStart w:id="138" w:name="第一百二十八条"/>
      <w:bookmarkEnd w:id="138"/>
      <w:r>
        <w:rPr>
          <w:rFonts w:ascii="Times New Roman" w:eastAsia="黑体" w:hAnsi="Times New Roman" w:cs="黑体" w:hint="eastAsia"/>
          <w:sz w:val="32"/>
          <w:szCs w:val="32"/>
        </w:rPr>
        <w:t>第一百二十八条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国家机关工作人员玩忽职守、滥用职权、徇私舞弊，损害未成年人合法权益的，依法给予处分。</w:t>
      </w:r>
    </w:p>
    <w:p>
      <w:pPr>
        <w:ind w:firstLine="640" w:firstLineChars="200"/>
        <w:rPr>
          <w:rFonts w:ascii="Times New Roman" w:hAnsi="Times New Roman" w:cs="仿宋_GB2312"/>
          <w:sz w:val="32"/>
          <w:szCs w:val="32"/>
        </w:rPr>
      </w:pPr>
      <w:bookmarkStart w:id="139" w:name="第一百二十九条"/>
      <w:bookmarkEnd w:id="139"/>
      <w:r>
        <w:rPr>
          <w:rFonts w:ascii="Times New Roman" w:eastAsia="黑体" w:hAnsi="Times New Roman" w:cs="黑体" w:hint="eastAsia"/>
          <w:sz w:val="32"/>
          <w:szCs w:val="32"/>
        </w:rPr>
        <w:t>第一百二十九条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违反本法规定，侵犯未成年人合法权益，造成人身、财产或者其他损害的，依法承担民事责任。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40" w:name="第九章 附则"/>
      <w:bookmarkEnd w:id="140"/>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1" w:name="第一百三十条"/>
      <w:bookmarkEnd w:id="141"/>
      <w:r>
        <w:rPr>
          <w:rFonts w:ascii="Times New Roman" w:eastAsia="黑体" w:hAnsi="Times New Roman" w:cs="黑体" w:hint="eastAsia"/>
          <w:sz w:val="32"/>
          <w:szCs w:val="32"/>
        </w:rPr>
        <w:t>第一百三十条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（二）学校，是指普通中小学、特殊教育学校、中等职业学校、专门学校。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（三）学生欺凌，是指发生在学生之间，一方蓄意或者恶意通过肢体、语言及网络等手段实施欺压、侮辱，造成另一方人身伤害、财产损失或者精神损害的行为。</w:t>
      </w:r>
    </w:p>
    <w:p>
      <w:pPr>
        <w:ind w:firstLine="640" w:firstLineChars="200"/>
        <w:rPr>
          <w:rFonts w:ascii="Times New Roman" w:hAnsi="Times New Roman" w:cs="仿宋_GB2312"/>
          <w:sz w:val="32"/>
          <w:szCs w:val="32"/>
        </w:rPr>
      </w:pPr>
      <w:bookmarkStart w:id="142" w:name="第一百三十一条"/>
      <w:bookmarkEnd w:id="142"/>
      <w:r>
        <w:rPr>
          <w:rFonts w:ascii="Times New Roman" w:eastAsia="黑体" w:hAnsi="Times New Roman" w:cs="黑体" w:hint="eastAsia"/>
          <w:sz w:val="32"/>
          <w:szCs w:val="32"/>
        </w:rPr>
        <w:t>第一百三十一条</w:t>
      </w:r>
      <w:r>
        <w:rPr>
          <w:rFonts w:ascii="Times New Roman" w:hAnsi="Times New Roman" w:cs="仿宋_GB2312" w:hint="eastAsia"/>
          <w:sz w:val="32"/>
          <w:szCs w:val="32"/>
        </w:rPr>
        <w:t>　</w:t>
      </w:r>
      <w:r>
        <w:rPr>
          <w:rFonts w:ascii="Times New Roman" w:hAnsi="Times New Roman" w:cs="仿宋_GB2312" w:hint="eastAsia"/>
          <w:sz w:val="32"/>
          <w:szCs w:val="32"/>
        </w:rPr>
        <w:t>对中国境内未满十八周岁的外国人、无国籍人，依照本法有关规定予以保护。</w:t>
      </w:r>
    </w:p>
    <w:p>
      <w:pPr>
        <w:ind w:firstLine="640" w:firstLineChars="200"/>
        <w:rPr>
          <w:rFonts w:ascii="Times New Roman" w:hAnsi="Times New Roman" w:cs="仿宋_GB2312"/>
          <w:sz w:val="32"/>
          <w:szCs w:val="32"/>
        </w:rPr>
      </w:pPr>
      <w:bookmarkStart w:id="143" w:name="第一百三十二条"/>
      <w:bookmarkEnd w:id="143"/>
      <w:r>
        <w:rPr>
          <w:rFonts w:ascii="Times New Roman" w:eastAsia="黑体" w:hAnsi="Times New Roman" w:cs="黑体" w:hint="eastAsia"/>
          <w:sz w:val="32"/>
          <w:szCs w:val="32"/>
        </w:rPr>
        <w:t>第一百三十二条</w:t>
      </w:r>
      <w:r>
        <w:rPr>
          <w:rFonts w:ascii="Times New Roman" w:hAnsi="Times New Roman" w:cs="仿宋_GB2312" w:hint="eastAsia"/>
          <w:sz w:val="32"/>
          <w:szCs w:val="32"/>
        </w:rPr>
        <w:t>　</w:t>
      </w:r>
      <w:r>
        <w:rPr>
          <w:rFonts w:ascii="Times New Roman" w:hAnsi="Times New Roman" w:cs="仿宋_GB2312" w:hint="eastAsia"/>
          <w:sz w:val="32"/>
          <w:szCs w:val="32"/>
        </w:rPr>
        <w:t>本法自2021年6月1日起施行。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