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涉外民事关系法律适用法"/>
      <w:bookmarkEnd w:id="0"/>
      <w:r>
        <w:rPr>
          <w:rFonts w:ascii="方正小标宋简体" w:eastAsia="方正小标宋简体" w:hAnsi="方正小标宋简体" w:cs="方正小标宋简体" w:hint="eastAsia"/>
          <w:color w:val="333333"/>
          <w:sz w:val="44"/>
          <w:szCs w:val="44"/>
          <w:shd w:val="clear" w:color="auto" w:fill="FFFFFF"/>
        </w:rPr>
        <w:t>中华人民共和国涉外民事关系法律适用法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（2010年10月28日第十一届全国人民代表大会常务委员会第十七次会议通过）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民事主体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婚姻家庭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继　　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　　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债　　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知识产权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一般规定"/>
      <w:bookmarkEnd w:id="3"/>
      <w:r>
        <w:rPr>
          <w:rFonts w:ascii="Times New Roman" w:eastAsia="黑体" w:hAnsi="Times New Roman" w:cs="黑体" w:hint="eastAsia"/>
          <w:szCs w:val="32"/>
        </w:rPr>
        <w:t>第一章　一般规定</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为了明确涉外民事关系的法律适用，合理解决涉外民事争议，维护当事人的合法权益，制定本法。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涉外民事关系适用的法律，依照本法确定。其他法律对涉外民事关系法律适用另有特别规定的，依照其规定。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本法和其他法律对涉外民事关系法律适用没有规定的，适用与该涉外民事关系有最密切联系的法律。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当事人依照法律规定可以明示选择涉外民事关系适用的法律。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中华人民共和国法律对涉外民事关系有强制性规定的，直接适用该强制性规定。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外国法律的适用将损害中华人民共和国社会公共利益的，适用中华人民共和国法律。</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涉外民事关系适用外国法律，该国不同区域实施不同法律的，适用与该涉外民事关系有最密切联系区域的法律。</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诉讼时效，适用相关涉外民事关系应当适用的法律。</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涉外民事关系的定性，适用法院地法律。</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涉外民事关系适用的外国法律，不包括该国的法律适用法。</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涉外民事关系适用的外国法律，由人民法院、仲裁机构或者行政机关查明。当事人选择适用外国法律的，应当提供该国法律。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不能查明外国法律或者该国法律没有规定的，适用中华人民共和国法律。</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民事主体"/>
      <w:bookmarkEnd w:id="14"/>
      <w:r>
        <w:rPr>
          <w:rFonts w:ascii="Times New Roman" w:eastAsia="黑体" w:hAnsi="Times New Roman" w:cs="黑体" w:hint="eastAsia"/>
          <w:szCs w:val="32"/>
        </w:rPr>
        <w:t>第二章　民事主体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自然人的民事权利能力，适用经常居所地法律。</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自然人的民事行为能力，适用经常居所地法律。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自然人从事民事活动，依照经常居所地法律为无民事行为能力，依照行为地法律为有民事行为能力的，适用行为地法律，但涉及婚姻家庭、继承的除外。</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宣告失踪或者宣告死亡，适用自然人经常居所地法律。</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法人及其分支机构的民事权利能力、民事行为能力、组织机构、股东权利义务等事项，适用登记地法律。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法人的主营业地与登记地不一致的，可以适用主营业地法律。法人的经常居所地，为其主营业地。</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人格权的内容，适用权利人经常居所地法律。</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代理适用代理行为地法律，但被代理人与代理人的民事关系，适用代理关系发生地法律。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当事人可以协议选择委托代理适用的法律。</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当事人可以协议选择信托适用的法律。当事人没有选择的，适用信托财产所在地法律或者信托关系发生地法律。</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当事人可以协议选择仲裁协议适用的法律。当事人没有选择的，适用仲裁机构所在地法律或者仲裁地法律。</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依照本法适用国籍国法律，自然人具有两个以上国籍的，适用有经常居所的国籍国法律；在所有国籍国均无经常居所的，适用与其有最密切联系的国籍国法律。自然人无国籍或者国籍不明的，适用其经常居所地法律。</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依照本法适用经常居所地法律，自然人经常居所地不明的，适用其现在居所地法律。</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婚姻家庭"/>
      <w:bookmarkEnd w:id="25"/>
      <w:r>
        <w:rPr>
          <w:rFonts w:ascii="Times New Roman" w:eastAsia="黑体" w:hAnsi="Times New Roman" w:cs="黑体" w:hint="eastAsia"/>
          <w:szCs w:val="32"/>
        </w:rPr>
        <w:t>第三章　婚姻家庭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结婚条件，适用当事人共同经常居所地法律；没有共同经常居所地的，适用共同国籍国法律；没有共同国籍，在一方当事人经常居所地或者国籍国缔结婚姻的，适用婚姻缔结地法律。</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结婚手续，符合婚姻缔结地法律、一方当事人经常居所地法律或者国籍国法律的，均为有效。</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夫妻人身关系，适用共同经常居所地法律；没有共同经常居所地的，适用共同国籍国法律。</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夫妻财产关系，当事人可以协议选择适用一方当事人经常居所地法律、国籍国法律或者主要财产所在地法律。当事人没有选择的，适用共同经常居所地法律；没有共同经常居所地的，适用共同国籍国法律。</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父母子女人身、财产关系，适用共同经常居所地法律；没有共同经常居所地的，适用一方当事人经常居所地法律或者国籍国法律中有利于保护弱者权益的法律。</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协议离婚，当事人可以协议选择适用一方当事人经常居所地法律或者国籍国法律。当事人没有选择的，适用共同经常居所地法律；没有共同经常居所地的，适用共同国籍国法律；没有共同国籍的，适用办理离婚手续机构所在地法律。</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诉讼离婚，适用法院地法律。</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收养的条件和手续，适用收养人和被收养人经常居所地法律。收养的效力，适用收养时收养人经常居所地法律。收养关系的解除，适用收养时被收养人经常居所地法律或者法院地法律。</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扶养，适用一方当事人经常居所地法律、国籍国法律或者主要财产所在地法律中有利于保护被扶养人权益的法律。</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监护，适用一方当事人经常居所地法律或者国籍国法律中有利于保护被监护人权益的法律。</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继承"/>
      <w:bookmarkEnd w:id="36"/>
      <w:r>
        <w:rPr>
          <w:rFonts w:ascii="Times New Roman" w:eastAsia="黑体" w:hAnsi="Times New Roman" w:cs="黑体" w:hint="eastAsia"/>
          <w:szCs w:val="32"/>
        </w:rPr>
        <w:t>第四章　继　　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法定继承，适用被继承人死亡时经常居所地法律，但不动产法定继承，适用不动产所在地法律。</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遗嘱方式，符合遗嘱人立遗嘱时或者死亡时经常居所地法律、国籍国法律或者遗嘱行为地法律的，遗嘱均为成立。</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遗嘱效力，适用遗嘱人立遗嘱时或者死亡时经常居所地法律或者国籍国法律。</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遗产管理等事项，适用遗产所在地法律。</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无人继承遗产的归属，适用被继承人死亡时遗产所在地法律。</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物权"/>
      <w:bookmarkEnd w:id="42"/>
      <w:r>
        <w:rPr>
          <w:rFonts w:ascii="Times New Roman" w:eastAsia="黑体" w:hAnsi="Times New Roman" w:cs="黑体" w:hint="eastAsia"/>
          <w:szCs w:val="32"/>
        </w:rPr>
        <w:t>第五章　物　　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不动产物权，适用不动产所在地法律。</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当事人可以协议选择动产物权适用的法律。当事人没有选择的，适用法律事实发生时动产所在地法律。</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当事人可以协议选择运输中动产物权发生变更适用的法律。当事人没有选择的，适用运输目的地法律。</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有价证券，适用有价证券权利实现地法律或者其他与该有价证券有最密切联系的法律。</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权利质权，适用质权设立地法律。</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债权"/>
      <w:bookmarkEnd w:id="48"/>
      <w:r>
        <w:rPr>
          <w:rFonts w:ascii="Times New Roman" w:eastAsia="黑体" w:hAnsi="Times New Roman" w:cs="黑体" w:hint="eastAsia"/>
          <w:szCs w:val="32"/>
        </w:rPr>
        <w:t>第六章　债　　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当事人可以协议选择合同适用的法律。当事人没有选择的，适用履行义务最能体现该合同特征的一方当事人经常居所地法律或者其他与该合同有最密切联系的法律。</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消费者合同，适用消费者经常居所地法律；消费者选择适用商品、服务提供地法律或者经营者在消费者经常居所地没有从事相关经营活动的，适用商品、服务提供地法律。</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劳动合同，适用劳动者工作地法律；难以确定劳动者工作地的，适用用人单位主营业地法律。劳务派遣，可以适用劳务派出地法律。</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侵权责任，适用侵权行为地法律，但当事人有共同经常居所地的，适用共同经常居所地法律。侵权行为发生后，当事人协议选择适用法律的，按照其协议。</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产品责任，适用被侵权人经常居所地法律；被侵权人选择适用侵权人主营业地法律、损害发生地法律的，或者侵权人在被侵权人经常居所地没有从事相关经营活动的，适用侵权人主营业地法律或者损害发生地法律。</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通过网络或者采用其他方式侵害姓名权、肖像权、名誉权、隐私权等人格权的，适用被侵权人经常居所地法律。</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不当得利、无因管理，适用当事人协议选择适用的法律。当事人没有选择的，适用当事人共同经常居所地法律；没有共同经常居所地的，适用不当得利、无因管理发生地法律。</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知识产权"/>
      <w:bookmarkEnd w:id="56"/>
      <w:r>
        <w:rPr>
          <w:rFonts w:ascii="Times New Roman" w:eastAsia="黑体" w:hAnsi="Times New Roman" w:cs="黑体" w:hint="eastAsia"/>
          <w:szCs w:val="32"/>
        </w:rPr>
        <w:t>第七章　知识产权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知识产权的归属和内容，适用被请求保护地法律。</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当事人可以协议选择知识产权转让和许可使用适用的法律。当事人没有选择的，适用本法对合同的有关规定。</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知识产权的侵权责任，适用被请求保护地法律，当事人也可以在侵权行为发生后协议选择适用法院地法律。</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附则"/>
      <w:bookmarkEnd w:id="6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《中华人民共和国民法通则》第一百四十六条、第一百四十七条，《中华人民共和国继承法》第三十六条，与本法的规定不一致的，适用本法。</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本法自2011年4月1日起施行。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