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职业病防治法"/>
      <w:bookmarkEnd w:id="0"/>
      <w:r>
        <w:rPr>
          <w:rFonts w:ascii="方正小标宋简体" w:eastAsia="方正小标宋简体" w:hAnsi="方正小标宋简体" w:cs="方正小标宋简体" w:hint="eastAsia"/>
          <w:color w:val="333333"/>
          <w:sz w:val="44"/>
          <w:szCs w:val="44"/>
          <w:shd w:val="clear" w:color="auto" w:fill="FFFFFF"/>
        </w:rPr>
        <w:t>中华人民共和国职业病防治法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（2001年10月27日第九届全国人民代表大会常务委员会第二十四次会议通过　根据2011年12月31日第十一届全国人民代表大会常务委员会第二十四次会议《关于修改〈中华人民共和国职业病防治法〉的决定》第一次修正　根据2016年7月2日第十二届全国人民代表大会常务委员会第二十一次会议《关于修改〈中华人民共和国节约能源法〉等六部法律的决定》第二次修正　根据2017年11月4日第十二届全国人民代表大会常务委员会第三十次会议《关于修改〈中华人民共和国会计法〉等十一部法律的决定》第三次修正　根据2018年12月29日第十三届全国人民代表大会常务委员会第七次会议《关于修改〈中华人民共和国劳动法〉等七部法律的决定》第四次修正）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前期预防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劳动过程中的防护与管理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职业病诊断与职业病病人保障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为了预防、控制和消除职业病危害，防治职业病，保护劳动者健康及其相关权益，促进经济社会发展，根据宪法，制定本法。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本法适用于中华人民共和国领域内的职业病防治活动。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本法所称职业病，是指企业、事业单位和个体经济组织等用人单位的劳动者在职业活动中，因接触粉尘、放射性物质和其他有毒、有害因素而引起的疾病。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职业病的分类和目录由国务院卫生行政部门会同国务院劳动保障行政部门制定、调整并公布。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职业病防治工作坚持预防为主、防治结合的方针，建立用人单位负责、行政机关监管、行业自律、职工参与和社会监督的机制，实行分类管理、综合治理。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劳动者依法享有职业卫生保护的权利。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用人单位应当为劳动者创造符合国家职业卫生标准和卫生要求的工作环境和条件，并采取措施保障劳动者获得职业卫生保护。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工会组织依法对职业病防治工作进行监督，维护劳动者的合法权益。用人单位制定或者修改有关职业病防治的规章制度，应当听取工会组织的意见。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用人单位应当建立、健全职业病防治责任制，加强对职业病防治的管理，提高职业病防治水平，对本单位产生的职业病危害承担责任。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用人单位的主要负责人对本单位的职业病防治工作全面负责。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用人单位必须依法参加工伤保险。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国务院和县级以上地方人民政府劳动保障行政部门应当加强对工伤保险的监督管理，确保劳动者依法享受工伤保险待遇。</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研制、开发、推广、应用有利于职业病防治和保护劳动者健康的新技术、新工艺、新设备、新材料，加强对职业病的机理和发生规律的基础研究，提高职业病防治科学技术水平；积极采用有效的职业病防治技术、工艺、设备、材料；限制使用或者淘汰职业病危害严重的技术、工艺、设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国家鼓励和支持职业病医疗康复机构的建设。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国家实行职业卫生监督制度。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国务院卫生行政部门、劳动保障行政部门依照本法和国务院确定的职责，负责全国职业病防治的监督管理工作。国务院有关部门在各自的职责范围内负责职业病防治的有关监督管理工作。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县级以上地方人民政府卫生行政部门、劳动保障行政部门依据各自职责，负责本行政区域内职业病防治的监督管理工作。县级以上地方人民政府有关部门在各自的职责范围内负责职业病防治的有关监督管理工作。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县级以上人民政府卫生行政部门、劳动保障行政部门（以下统称职业卫生监督管理部门）应当加强沟通，密切配合，按照各自职责分工，依法行使职权，承担责任。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国务院和县级以上地方人民政府应当制定职业病防治规划，将其纳入国民经济和社会发展计划，并组织实施。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一负责、领导、组织、协调本行政区域的职业病防治工作，建立健全职业病防治工作体制、机制，统一领导、指挥职业卫生突发事件应对工作；加强职业病防治能力建设和服务体系建设，完善、落实职业病防治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乡、民族乡、镇的人民政府应当认真执行本法，支持职业卫生监督管理部门依法履行职责。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职业卫生监督管理部门应当加强对职业病防治的宣传教育，普及职业病防治的知识，增强用人单位的职业病防治观念，提高劳动者的职业健康意识、自我保护意识和行使职业卫生保护权利的能力。</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有关防治职业病的国家职业卫生标准，由国务院卫生行政部门组织制定并公布。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国务院卫生行政部门应当组织开展重点职业病监测和专项调查，对职业健康风险进行评估，为制定职业卫生标准和职业病防治政策提供科学依据。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县级以上地方人民政府卫生行政部门应当定期对本行政区域的职业病防治情况进行统计和调查分析。</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任何单位和个人有权对违反本法的行为进行检举和控告。有关部门收到相关的检举和控告后，应当及时处理。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对防治职业病成绩显著的单位和个人，给予奖励。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前期预防"/>
      <w:bookmarkEnd w:id="17"/>
      <w:r>
        <w:rPr>
          <w:rFonts w:ascii="Times New Roman" w:eastAsia="黑体" w:hAnsi="Times New Roman" w:cs="黑体" w:hint="eastAsia"/>
          <w:szCs w:val="32"/>
        </w:rPr>
        <w:t>第二章　前期预防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用人单位应当依照法律、法规要求，严格遵守国家职业卫生标准，落实职业病预防措施，从源头上控制和消除职业病危害。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产生职业病危害的用人单位的设立除应当符合法律、行政法规规定的设立条件外，其工作场所还应当符合下列职业卫生要求：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（一）职业病危害因素的强度或者浓度符合国家职业卫生标准；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（二）有与职业病危害防护相适应的设施；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（三）生产布局合理，符合有害与无害作业分开的原则；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（四）有配套的更衣间、洗浴间、孕妇休息间等卫生设施；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（五）设备、工具、用具等设施符合保护劳动者生理、心理健康的要求；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（六）法律、行政法规和国务院卫生行政部门关于保护劳动者健康的其他要求。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国家建立职业病危害项目申报制度。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用人单位工作场所存在职业病目录所列职业病的危害因素的，应当及时、如实向所在地卫生行政部门申报危害项目，接受监督。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职业病危害因素分类目录由国务院卫生行政部门制定、调整并公布。职业病危害项目申报的具体办法由国务院卫生行政部门制定。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新建、扩建、改建建设项目和技术改造、技术引进项目（以下统称建设项目）可能产生职业病危害的，建设单位在可行性论证阶段应当进行职业病危害预评价。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建设项目可能产生放射性职业病危害的，建设单位应当向卫生行政部门提交放射性职业病危害预评价报告。卫生行政部门应当自收到预评价报告之日起三十日内，作出审核决定并书面通知建设单位。未提交预评价报告或者预评价报告未经卫生行政部门审核同意的，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职业病危害预评价报告应当对建设项目可能产生的职业病危害因素及其对工作场所和劳动者健康的影响作出评价，确定危害类别和职业病防护措施。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建设项目职业病危害分类管理办法由国务院卫生行政部门制定。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建设项目的职业病防护设施所需费用应当纳入建设项目工程预算，并与主体工程同时设计，同时施工，同时投入生产和使用。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建设项目的职业病防护设施设计应当符合国家职业卫生标准和卫生要求；其中，医疗机构放射性职业病危害严重的建设项目的防护设施设计，应当经卫生行政部门审查同意后，方可施工。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建设项目在竣工验收前，建设单位应当进行职业病危害控制效果评价。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可能产生放射性职业病危害的建设项目竣工验收时，其放射性职业病防护设施经卫生行政部门验收合格后，方可投入使用；其他建设项目的职业病防护设施应当由建设单位负责依法组织验收，验收合格后，方可投入生产和使用。卫生行政部门应当加强对建设单位组织的验收活动和验收结果的监督核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国家对从事放射性、高毒、高危粉尘等作业实行特殊管理。具体管理办法由国务院制定。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劳动过程中的防护与管理"/>
      <w:bookmarkEnd w:id="24"/>
      <w:r>
        <w:rPr>
          <w:rFonts w:ascii="Times New Roman" w:eastAsia="黑体" w:hAnsi="Times New Roman" w:cs="黑体" w:hint="eastAsia"/>
          <w:szCs w:val="32"/>
        </w:rPr>
        <w:t>第三章　劳动过程中的防护与管理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用人单位应当采取下列职业病防治管理措施：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（一）设置或者指定职业卫生管理机构或者组织，配备专职或者兼职的职业卫生管理人员，负责本单位的职业病防治工作；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（二）制定职业病防治计划和实施方案；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（三）建立、健全职业卫生管理制度和操作规程；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（四）建立、健全职业卫生档案和劳动者健康监护档案；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（五）建立、健全工作场所职业病危害因素监测及评价制度；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（六）建立、健全职业病危害事故应急救援预案。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用人单位应当保障职业病防治所需的资金投入，不得挤占、挪用，并对因资金投入不足导致的后果承担责任。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用人单位必须采用有效的职业病防护设施，并为劳动者提供个人使用的职业病防护用品。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用人单位为劳动者个人提供的职业病防护用品必须符合防治职业病的要求；不符合要求的，不得使用。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用人单位应当优先采用有利于防治职业病和保护劳动者健康的新技术、新工艺、新设备、新材料，逐步替代职业病危害严重的技术、工艺、设备、材料。</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产生职业病危害的用人单位，应当在醒目位置设置公告栏，公布有关职业病防治的规章制度、操作规程、职业病危害事故应急救援措施和工作场所职业病危害因素检测结果。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对产生严重职业病危害的作业岗位，应当在其醒目位置，设置警示标识和中文警示说明。警示说明应当载明产生职业病危害的种类、后果、预防以及应急救治措施等内容。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对可能发生急性职业损伤的有毒、有害工作场所，用人单位应当设置报警装置，配置现场急救用品、冲洗设备、应急撤离通道和必要的泄险区。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对放射工作场所和放射性同位素的运输、贮存，用人单位必须配置防护设备和报警装置，保证接触放射线的工作人员佩戴个人剂量计。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对职业病防护设备、应急救援设施和个人使用的职业病防护用品，用人单位应当进行经常性的维护、检修，定期检测其性能和效果，确保其处于正常状态，不得擅自拆除或者停止使用。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用人单位应当实施由专人负责的职业病危害因素日常监测，并确保监测系统处于正常运行状态。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用人单位应当按照国务院卫生行政部门的规定，定期对工作场所进行职业病危害因素检测、评价。检测、评价结果存入用人单位职业卫生档案，定期向所在地卫生行政部门报告并向劳动者公布。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因素检测、评价由依法设立的取得国务院卫生行政部门或者设区的市级以上地方人民政府卫生行政部门按照职责分工给予资质认可的职业卫生技术服务机构进行。职业卫生技术服务机构所作检测、评价应当客观、真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工作场所职业病危害因素不符合国家职业卫生标准和卫生要求时，用人单位应当立即采取相应治理措施，仍然达不到国家职业卫生标准和卫生要求的，必须停止存在职业病危害因素的作业；职业病危害因素经治理后，符合国家职业卫生标准和卫生要求的，方可重新作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职业卫生技术服务机构依法从事职业病危害因素检测、评价工作，接受卫生行政部门的监督检查。卫生行政部门应当依法履行监督职责。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设备的，应当提供中文说明书，并在设备的醒目位置设置警示标识和中文警示说明。警示说明应当载明设备性能、可能产生的职业病危害、安全操作和维护注意事项、职业病防护以及应急救治措施等内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化学品、放射性同位素和含有放射性物质的材料的，应当提供中文说明书。说明书应当载明产品特性、主要成份、存在的有害因素、可能产生的危害后果、安全使用注意事项、职业病防护以及应急救治措施等内容。产品包装应当有醒目的警示标识和中文警示说明。贮存上述材料的场所应当在规定的部位设置危险物品标识或者放射性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首次使用或者首次进口与职业病危害有关的化学材料，使用单位或者进口单位按照国家规定经国务院有关部门批准后，应当向国务院卫生行政部门报送该化学材料的毒性鉴定以及经有关部门登记注册或者批准进口的文件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进口放射性同位素、射线装置和含有放射性物质的物品的，按照国家有关规定办理。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任何单位和个人不得生产、经营、进口和使用国家明令禁止使用的可能产生职业病危害的设备或者材料。</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任何单位和个人不得将产生职业病危害的作业转移给不具备职业病防护条件的单位和个人。不具备职业病防护条件的单位和个人不得接受产生职业病危害的作业。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用人单位对采用的技术、工艺、设备、材料，应当知悉其产生的职业病危害，对有职业病危害的技术、工艺、设备、材料隐瞒其危害而采用的，对所造成的职业病危害后果承担责任。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用人单位与劳动者订立劳动合同（含聘用合同，下同）时，应当将工作过程中可能产生的职业病危害及其后果、职业病防护措施和待遇等如实告知劳动者，并在劳动合同中写明，不得隐瞒或者欺骗。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在已订立劳动合同期间因工作岗位或者工作内容变更，从事与所订立劳动合同中未告知的存在职业病危害的作业时，用人单位应当依照前款规定，向劳动者履行如实告知的义务，并协商变更原劳动合同相关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用人单位违反前两款规定的，劳动者有权拒绝从事存在职业病危害的作业，用人单位不得因此解除与劳动者所订立的劳动合同。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用人单位的主要负责人和职业卫生管理人员应当接受职业卫生培训，遵守职业病防治法律、法规，依法组织本单位的职业病防治工作。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对劳动者进行上岗前的职业卫生培训和在岗期间的定期职业卫生培训，普及职业卫生知识，督促劳动者遵守职业病防治法律、法规、规章和操作规程，指导劳动者正确使用职业病防护设备和个人使用的职业病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应当学习和掌握相关的职业卫生知识，增强职业病防范意识，遵守职业病防治法律、法规、规章和操作规程，正确使用、维护职业病防护设备和个人使用的职业病防护用品，发现职业病危害事故隐患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劳动者不履行前款规定义务的，用人单位应当对其进行教育。</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对从事接触职业病危害的作业的劳动者，用人单位应当按照国务院卫生行政部门的规定组织上岗前、在岗期间和离岗时的职业健康检查，并将检查结果书面告知劳动者。职业健康检查费用由用人单位承担。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未经上岗前职业健康检查的劳动者从事接触职业病危害的作业；不得安排有职业禁忌的劳动者从事其所禁忌的作业；对在职业健康检查中发现有与所从事的职业相关的健康损害的劳动者，应当调离原工作岗位，并妥善安置；对未进行离岗前职业健康检查的劳动者不得解除或者终止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职业健康检查应当由取得《医疗机构执业许可证》的医疗卫生机构承担。卫生行政部门应当加强对职业健康检查工作的规范管理，具体管理办法由国务院卫生行政部门制定。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用人单位应当为劳动者建立职业健康监护档案，并按照规定的期限妥善保存。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职业健康监护档案应当包括劳动者的职业史、职业病危害接触史、职业健康检查结果和职业病诊疗等有关个人健康资料。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劳动者离开用人单位时，有权索取本人职业健康监护档案复印件，用人单位应当如实、无偿提供，并在所提供的复印件上签章。</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或者可能发生急性职业病危害事故时，用人单位应当立即采取应急救援和控制措施，并及时报告所在地卫生行政部门和有关部门。卫生行政部门接到报告后，应当及时会同有关部门组织调查处理；必要时，可以采取临时控制措施。卫生行政部门应当组织做好医疗救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对遭受或者可能遭受急性职业病危害的劳动者，用人单位应当及时组织救治、进行健康检查和医学观察，所需费用由用人单位承担。</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用人单位不得安排未成年工从事接触职业病危害的作业；不得安排孕期、哺乳期的女职工从事对本人和胎儿、婴儿有危害的作业。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劳动者享有下列职业卫生保护权利：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（一）获得职业卫生教育、培训；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（二）获得职业健康检查、职业病诊疗、康复等职业病防治服务；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（三）了解工作场所产生或者可能产生的职业病危害因素、危害后果和应当采取的职业病防护措施；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（四）要求用人单位提供符合防治职业病要求的职业病防护设施和个人使用的职业病防护用品，改善工作条件；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（五）对违反职业病防治法律、法规以及危及生命健康的行为提出批评、检举和控告；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（六）拒绝违章指挥和强令进行没有职业病防护措施的作业；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（七）参与用人单位职业卫生工作的民主管理，对职业病防治工作提出意见和建议。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用人单位应当保障劳动者行使前款所列权利。因劳动者依法行使正当权利而降低其工资、福利等待遇或者解除、终止与其订立的劳动合同的，其行为无效。</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组织应当督促并协助用人单位开展职业卫生宣传教育和培训，有权对用人单位的职业病防治工作提出意见和建议，依法代表劳动者与用人单位签订劳动安全卫生专项集体合同，与用人单位就劳动者反映的有关职业病防治的问题进行协调并督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对用人单位违反职业病防治法律、法规，侵犯劳动者合法权益的行为，有权要求纠正；产生严重职业病危害时，有权要求采取防护措施，或者向政府有关部门建议采取强制性措施；发生职业病危害事故时，有权参与事故调查处理；发现危及劳动者生命健康的情形时，有权向用人单位建议组织劳动者撤离危险现场，用人单位应当立即作出处理。</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用人单位按照职业病防治要求，用于预防和治理职业病危害、工作场所卫生检测、健康监护和职业卫生培训等费用，按照国家有关规定，在生产成本中据实列支。</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职业卫生监督管理部门应当按照职责分工，加强对用人单位落实职业病防护管理措施情况的监督检查，依法行使职权，承担责任。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职业病诊断与职业病病人保障"/>
      <w:bookmarkEnd w:id="48"/>
      <w:r>
        <w:rPr>
          <w:rFonts w:ascii="Times New Roman" w:eastAsia="黑体" w:hAnsi="Times New Roman" w:cs="黑体" w:hint="eastAsia"/>
          <w:szCs w:val="32"/>
        </w:rPr>
        <w:t>第四章　职业病诊断与职业病病人保障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职业病诊断应当由取得《医疗机构执业许可证》的医疗卫生机构承担。卫生行政部门应当加强对职业病诊断工作的规范管理，具体管理办法由国务院卫生行政部门制定。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承担职业病诊断的医疗卫生机构还应当具备下列条件：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（一）具有与开展职业病诊断相适应的医疗卫生技术人员；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（二）具有与开展职业病诊断相适应的仪器、设备；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（三）具有健全的职业病诊断质量管理制度。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承担职业病诊断的医疗卫生机构不得拒绝劳动者进行职业病诊断的要求。</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劳动者可以在用人单位所在地、本人户籍所在地或者经常居住地依法承担职业病诊断的医疗卫生机构进行职业病诊断。</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职业病诊断标准和职业病诊断、鉴定办法由国务院卫生行政部门制定。职业病伤残等级的鉴定办法由国务院劳动保障行政部门会同国务院卫生行政部门制定。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职业病诊断，应当综合分析下列因素：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（一）病人的职业史；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（二）职业病危害接触史和工作场所职业病危害因素情况；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（三）临床表现以及辅助检查结果等。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没有证据否定职业病危害因素与病人临床表现之间的必然联系的，应当诊断为职业病。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职业病诊断证明书应当由参与诊断的取得职业病诊断资格的执业医师签署，并经承担职业病诊断的医疗卫生机构审核盖章。</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如实提供职业病诊断、鉴定所需的劳动者职业史和职业病危害接触史、工作场所职业病危害因素检测结果等资料；卫生行政部门应当监督检查和督促用人单位提供上述资料；劳动者和有关机构也应当提供与职业病诊断、鉴定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职业病诊断、鉴定机构需要了解工作场所职业病危害因素情况时，可以对工作场所进行现场调查，也可以向卫生行政部门提出，卫生行政部门应当在十日内组织现场调查。用人单位不得拒绝、阻挠。</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过程中，用人单位不提供工作场所职业病危害因素检测结果等资料的，诊断、鉴定机构应当结合劳动者的临床表现、辅助检查结果和劳动者的职业史、职业病危害接触史，并参考劳动者的自述、卫生行政部门提供的日常监督检查信息等，作出职业病诊断、鉴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用人单位提供的工作场所职业病危害因素检测结果等资料有异议，或者因劳动者的用人单位解散、破产，无用人单位提供上述资料的，诊断、鉴定机构应当提请卫生行政部门进行调查，卫生行政部门应当自接到申请之日起三十日内对存在异议的资料或者工作场所职业病危害因素情况作出判定；有关部门应当配合。</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过程中，在确认劳动者职业史、职业病危害接触史时，当事人对劳动关系、工种、工作岗位或者在岗时间有争议的，可以向当地的劳动人事争议仲裁委员会申请仲裁；接到申请的劳动人事争议仲裁委员会应当受理，并在三十日内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仲裁过程中对自己提出的主张，有责任提供证据。劳动者无法提供由用人单位掌握管理的与仲裁主张有关的证据的，仲裁庭应当要求用人单位在指定期限内提供；用人单位在指定期限内不提供的，应当承担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劳动者对仲裁裁决不服的，可以依法向人民法院提起诉讼。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用人单位对仲裁裁决不服的，可以在职业病诊断、鉴定程序结束之日起十五日内依法向人民法院提起诉讼；诉讼期间，劳动者的治疗费用按照职业病待遇规定的途径支付。</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用人单位和医疗卫生机构发现职业病病人或者疑似职业病病人时，应当及时向所在地卫生行政部门报告。确诊为职业病的，用人单位还应当向所在地劳动保障行政部门报告。接到报告的部门应当依法作出处理。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县级以上地方人民政府卫生行政部门负责本行政区域内的职业病统计报告的管理工作，并按照规定上报。</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当事人对职业病诊断有异议的，可以向作出诊断的医疗卫生机构所在地地方人民政府卫生行政部门申请鉴定。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职业病诊断争议由设区的市级以上地方人民政府卫生行政部门根据当事人的申请，组织职业病诊断鉴定委员会进行鉴定。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当事人对设区的市级职业病诊断鉴定委员会的鉴定结论不服的，可以向省、自治区、直辖市人民政府卫生行政部门申请再鉴定。</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职业病诊断鉴定委员会由相关专业的专家组成。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省、自治区、直辖市人民政府卫生行政部门应当设立相关的专家库，需要对职业病争议作出诊断鉴定时，由当事人或者当事人委托有关卫生行政部门从专家库中以随机抽取的方式确定参加诊断鉴定委员会的专家。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职业病诊断鉴定委员会应当按照国务院卫生行政部门颁布的职业病诊断标准和职业病诊断、鉴定办法进行职业病诊断鉴定，向当事人出具职业病诊断鉴定书。职业病诊断、鉴定费用由用人单位承担。</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组成人员应当遵守职业道德，客观、公正地进行诊断鉴定，并承担相应的责任。职业病诊断鉴定委员会组成人员不得私下接触当事人，不得收受当事人的财物或者其他好处，与当事人有利害关系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人民法院受理有关案件需要进行职业病鉴定时，应当从省、自治区、直辖市人民政府卫生行政部门依法设立的相关的专家库中选取参加鉴定的专家。</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医疗卫生机构发现疑似职业病病人时，应当告知劳动者本人并及时通知用人单位。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用人单位应当及时安排对疑似职业病病人进行诊断；在疑似职业病病人诊断或者医学观察期间，不得解除或者终止与其订立的劳动合同。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疑似职业病病人在诊断、医学观察期间的费用，由用人单位承担。</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用人单位应当保障职业病病人依法享受国家规定的职业病待遇。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用人单位应当按照国家有关规定，安排职业病病人进行治疗、康复和定期检查。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用人单位对不适宜继续从事原工作的职业病病人，应当调离原岗位，并妥善安置。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用人单位对从事接触职业病危害的作业的劳动者，应当给予适当岗位津贴。</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职业病病人的诊疗、康复费用，伤残以及丧失劳动能力的职业病病人的社会保障，按照国家有关工伤保险的规定执行。</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职业病病人除依法享有工伤保险外，依照有关民事法律，尚有获得赔偿的权利的，有权向用人单位提出赔偿要求。</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劳动者被诊断患有职业病，但用人单位没有依法参加工伤保险的，其医疗和生活保障由该用人单位承担。</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职业病病人变动工作单位，其依法享有的待遇不变。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用人单位在发生分立、合并、解散、破产等情形时，应当对从事接触职业病危害的作业的劳动者进行健康检查，并按照国家有关规定妥善安置职业病病人。</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用人单位已经不存在或者无法确认劳动关系的职业病病人，可以向地方人民政府医疗保障、民政部门申请医疗救助和生活等方面的救助。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地方各级人民政府应当根据本地区的实际情况，采取其他措施，使前款规定的职业病病人获得医疗救治。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五章 监督检查"/>
      <w:bookmarkEnd w:id="6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县级以上人民政府职业卫生监督管理部门依照职业病防治法律、法规、国家职业卫生标准和卫生要求，依据职责划分，对职业病防治工作进行监督检查。</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卫生行政部门履行监督检查职责时，有权采取下列措施：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（一）进入被检查单位和职业病危害现场，了解情况，调查取证；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（二）查阅或者复制与违反职业病防治法律、法规的行为有关的资料和采集样品；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（三）责令违反职业病防治法律、法规的单位和个人停止违法行为。</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发生职业病危害事故或者有证据证明危害状态可能导致职业病危害事故发生时，卫生行政部门可以采取下列临时控制措施：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（一）责令暂停导致职业病危害事故的作业；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（二）封存造成职业病危害事故或者可能导致职业病危害事故发生的材料和设备；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（三）组织控制职业病危害事故现场。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在职业病危害事故或者危害状态得到有效控制后，卫生行政部门应当及时解除控制措施。</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职业卫生监督执法人员依法执行职务时，应当出示监督执法证件。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职业卫生监督执法人员应当忠于职守，秉公执法，严格遵守执法规范；涉及用人单位的秘密的，应当为其保密。</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职业卫生监督执法人员依法执行职务时，被检查单位应当接受检查并予以支持配合，不得拒绝和阻碍。</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卫生行政部门及其职业卫生监督执法人员履行职责时，不得有下列行为：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（一）对不符合法定条件的，发给建设项目有关证明文件、资质证明文件或者予以批准；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（二）对已经取得有关证明文件的，不履行监督检查职责；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（三）发现用人单位存在职业病危害的，可能造成职业病危害事故，不及时依法采取控制措施；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（四）其他违反本法的行为。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职业卫生监督执法人员应当依法经过资格认定。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卫生监督管理部门应当加强队伍建设，提高职业卫生监督执法人员的政治、业务素质，依照本法和其他有关法律、法规的规定，建立、健全内部监督制度，对其工作人员执行法律、法规和遵守纪律的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法律责任"/>
      <w:bookmarkEnd w:id="7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法规定，有下列行为之一的，由卫生行政部门给予警告，责令限期改正；逾期不改正的，处十万元以上五十万元以下的罚款；情节严重的，责令停止产生职业病危害的作业，或者提请有关人民政府按照国务院规定的权限责令停建、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（一）未按照规定进行职业病危害预评价的；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（二）医疗机构可能产生放射性职业病危害的建设项目未按照规定提交放射性职业病危害预评价报告，或者放射性职业病危害预评价报告未经卫生行政部门审核同意，开工建设的；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（三）建设项目的职业病防护设施未按照规定与主体工程同时设计、同时施工、同时投入生产和使用的；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（四）建设项目的职业病防护设施设计不符合国家职业卫生标准和卫生要求，或者医疗机构放射性职业病危害严重的建设项目的防护设施设计未经卫生行政部门审查同意擅自施工的；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（五）未按照规定对职业病防护设施进行职业病危害控制效果评价的；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（六）建设项目竣工投入生产和使用前，职业病防护设施未按照规定验收合格的。</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违反本法规定，有下列行为之一的，由卫生行政部门给予警告，责令限期改正；逾期不改正的，处十万元以下的罚款：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（一）工作场所职业病危害因素检测、评价结果没有存档、上报、公布的；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（二）未采取本法第二十条规定的职业病防治管理措施的；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（三）未按照规定公布有关职业病防治的规章制度、操作规程、职业病危害事故应急救援措施的；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（四）未按照规定组织劳动者进行职业卫生培训，或者未对劳动者个人职业病防护采取指导、督促措施的；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（五）国内首次使用或者首次进口与职业病危害有关的化学材料，未按照规定报送毒性鉴定资料以及经有关部门登记注册或者批准进口的文件的。</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用人单位违反本法规定，有下列行为之一的，由卫生行政部门责令限期改正，给予警告，可以并处五万元以上十万元以下的罚款：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（一）未按照规定及时、如实向卫生行政部门申报产生职业病危害的项目的；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（二）未实施由专人负责的职业病危害因素日常监测，或者监测系统不能正常监测的；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（三）订立或者变更劳动合同时，未告知劳动者职业病危害真实情况的；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（四）未按照规定组织职业健康检查、建立职业健康监护档案或者未将检查结果书面告知劳动者的；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（五）未依照本法规定在劳动者离开用人单位时提供职业健康监护档案复印件的。</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有下列行为之一的，由卫生行政部门给予警告，责令限期改正，逾期不改正的，处五万元以上二十万元以下的罚款；情节严重的，责令停止产生职业病危害的作业，或者提请有关人民政府按照国务院规定的权限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（一）工作场所职业病危害因素的强度或者浓度超过国家职业卫生标准的；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（二）未提供职业病防护设施和个人使用的职业病防护用品，或者提供的职业病防护设施和个人使用的职业病防护用品不符合国家职业卫生标准和卫生要求的；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（三）对职业病防护设备、应急救援设施和个人使用的职业病防护用品未按照规定进行维护、检修、检测，或者不能保持正常运行、使用状态的；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（四）未按照规定对工作场所职业病危害因素进行检测、评价的；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（五）工作场所职业病危害因素经治理仍然达不到国家职业卫生标准和卫生要求时，未停止存在职业病危害因素的作业的；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（六）未按照规定安排职业病病人、疑似职业病病人进行诊治的；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（七）发生或者可能发生急性职业病危害事故时，未立即采取应急救援和控制措施或者未按照规定及时报告的；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（八）未按照规定在产生严重职业病危害的作业岗位醒目位置设置警示标识和中文警示说明的；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（九）拒绝职业卫生监督管理部门监督检查的；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（十）隐瞒、伪造、篡改、毁损职业健康监护档案、工作场所职业病危害因素检测评价结果等相关资料，或者拒不提供职业病诊断、鉴定所需资料的；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（十一）未按照规定承担职业病诊断、鉴定费用和职业病病人的医疗、生活保障费用的。</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向用人单位提供可能产生职业病危害的设备、材料，未按照规定提供中文说明书或者设置警示标识和中文警示说明的，由卫生行政部门责令限期改正，给予警告，并处五万元以上二十万元以下的罚款。</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用人单位和医疗卫生机构未按照规定报告职业病、疑似职业病的，由有关主管部门依据职责分工责令限期改正，给予警告，可以并处一万元以下的罚款；弄虚作假的，并处二万元以上五万元以下的罚款；对直接负责的主管人员和其他直接责任人员，可以依法给予降级或者撤职的处分。</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违反本法规定，有下列情形之一的，由卫生行政部门责令限期治理，并处五万元以上三十万元以下的罚款；情节严重的，责令停止产生职业病危害的作业，或者提请有关人民政府按照国务院规定的权限责令关闭：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（一）隐瞒技术、工艺、设备、材料所产生的职业病危害而采用的；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（二）隐瞒本单位职业卫生真实情况的；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（三）可能发生急性职业损伤的有毒、有害工作场所、放射工作场所或者放射性同位素的运输、贮存不符合本法第二十五条规定的；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（四）使用国家明令禁止使用的可能产生职业病危害的设备或者材料的；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（五）将产生职业病危害的作业转移给没有职业病防护条件的单位和个人，或者没有职业病防护条件的单位和个人接受产生职业病危害的作业的；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（六）擅自拆除、停止使用职业病防护设备或者应急救援设施的；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（七）安排未经职业健康检查的劳动者、有职业禁忌的劳动者、未成年工或者孕期、哺乳期女职工从事接触职业病危害的作业或者禁忌作业的；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（八）违章指挥和强令劳动者进行没有职业病防护措施的作业的。</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生产、经营或者进口国家明令禁止使用的可能产生职业病危害的设备或者材料的，依照有关法律、行政法规的规定给予处罚。</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用人单位违反本法规定，已经对劳动者生命健康造成严重损害的，由卫生行政部门责令停止产生职业病危害的作业，或者提请有关人民政府按照国务院规定的权限责令关闭，并处十万元以上五十万元以下的罚款。</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用人单位违反本法规定，造成重大职业病危害事故或者其他严重后果，构成犯罪的，对直接负责的主管人员和其他直接责任人员，依法追究刑事责任。</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未取得职业卫生技术服务资质认可擅自从事职业卫生技术服务的，由卫生行政部门责令立即停止违法行为，没收违法所得；违法所得五千元以上的，并处违法所得二倍以上十倍以下的罚款；没有违法所得或者违法所得不足五千元的，并处五千元以上五万元以下的罚款；情节严重的，对直接负责的主管人员和其他直接责任人员，依法给予降级、撤职或者开除的处分。</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从事职业卫生技术服务的机构和承担职业病诊断的医疗卫生机构违反本法规定，有下列行为之一的，由卫生行政部门责令立即停止违法行为，给予警告，没收违法所得；违法所得五千元以上的，并处违法所得二倍以上五倍以下的罚款；没有违法所得或者违法所得不足五千元的，并处五千元以上二万元以下的罚款；情节严重的，由原认可或者登记机关取消其相应的资格；对直接负责的主管人员和其他直接责任人员，依法给予降级、撤职或者开除的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（一）超出资质认可或者诊疗项目登记范围从事职业卫生技术服务或者职业病诊断的；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（二）不按照本法规定履行法定职责的；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（三）出具虚假证明文件的。</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组成人员收受职业病诊断争议当事人的财物或者其他好处的，给予警告，没收收受的财物，可以并处三千元以上五万元以下的罚款，取消其担任职业病诊断鉴定委员会组成人员的资格，并从省、自治区、直辖市人民政府卫生行政部门设立的专家库中予以除名。</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卫生行政部门不按照规定报告职业病和职业病危害事故的，由上一级行政部门责令改正，通报批评，给予警告；虚报、瞒报的，对单位负责人、直接负责的主管人员和其他直接责任人员依法给予降级、撤职或者开除的处分。</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县级以上地方人民政府在职业病防治工作中未依照本法履行职责，本行政区域出现重大职业病危害事故、造成严重社会影响的，依法对直接负责的主管人员和其他直接责任人员给予记大过直至开除的处分。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职业卫生监督管理部门不履行本法规定的职责，滥用职权、玩忽职守、徇私舞弊，依法对直接负责的主管人员和其他直接责任人员给予记大过或者降级的处分；造成职业病危害事故或者其他严重后果的，依法给予撤职或者开除的处分。</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七章 附则"/>
      <w:bookmarkEnd w:id="9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职业病危害，是指对从事职业活动的劳动者可能导致职业病的各种危害。职业病危害因素包括：职业活动中存在的各种有害的化学、物理、生物因素以及在作业过程中产生的其他职业有害因素。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禁忌，是指劳动者从事特定职业或者接触特定职业病危害因素时，比一般职业人群更易于遭受职业病危害和罹患职业病或者可能导致原有自身疾病病情加重，或者在从事作业过程中诱发可能导致对他人生命健康构成危险的疾病的个人特殊生理或者病理状态。</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本法第二条规定的用人单位以外的单位，产生职业病危害的，其职业病防治活动可以参照本法执行。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劳务派遣用工单位应当履行本法规定的用人单位的义务。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中国人民解放军参照执行本法的办法，由国务院、中央军事委员会制定。</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对医疗机构放射性职业病危害控制的监督管理，由卫生行政部门依照本法的规定实施。</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本法自2002年5月1日起施行。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