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AB1C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船舶吨税法"/>
      <w:bookmarkEnd w:id="0"/>
      <w:r>
        <w:rPr>
          <w:rFonts w:hint="eastAsia" w:ascii="方正小标宋简体" w:hAnsi="方正小标宋简体" w:eastAsia="方正小标宋简体" w:cs="方正小标宋简体"/>
          <w:color w:val="333333"/>
          <w:sz w:val="44"/>
          <w:szCs w:val="44"/>
          <w:shd w:val="clear" w:color="auto" w:fill="FFFFFF"/>
        </w:rPr>
        <w:t>中华人民共和国船舶吨税法</w:t>
      </w:r>
    </w:p>
    <w:p w14:paraId="73124B0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（2017年12月27日第十二届全国人民代表大会常务委员会第三十一次会议通过　根据2018年10月26日第十三届全国人民代表大会常务委员会第六次会议《关于修改〈中华人民共和国野生动物保护法〉等十五部法律的决定》修正）</w:t>
      </w:r>
    </w:p>
    <w:p w14:paraId="474585C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6" w:name="_GoBack"/>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自中华人民共和国境外港口进入境内港口的船舶（以下称应税船舶）</w:t>
      </w:r>
      <w:r>
        <w:rPr>
          <w:rFonts w:hint="eastAsia" w:cs="仿宋_GB2312"/>
          <w:sz w:val="32"/>
          <w:szCs w:val="32"/>
          <w:lang w:eastAsia="zh-CN"/>
        </w:rPr>
        <w:t>，</w:t>
      </w:r>
      <w:r>
        <w:rPr>
          <w:rFonts w:hint="eastAsia" w:ascii="Times New Roman" w:hAnsi="Times New Roman" w:cs="仿宋_GB2312"/>
          <w:sz w:val="32"/>
          <w:szCs w:val="32"/>
        </w:rPr>
        <w:t>应当依照本法缴纳船舶吨税（以下简称吨税</w:t>
      </w:r>
      <w:r>
        <w:rPr>
          <w:rFonts w:hint="eastAsia" w:cs="仿宋_GB2312"/>
          <w:sz w:val="32"/>
          <w:szCs w:val="32"/>
          <w:lang w:eastAsia="zh-CN"/>
        </w:rPr>
        <w:t>）</w:t>
      </w:r>
      <w:r>
        <w:rPr>
          <w:rFonts w:hint="eastAsia" w:ascii="Times New Roman" w:hAnsi="Times New Roman" w:cs="仿宋_GB2312"/>
          <w:sz w:val="32"/>
          <w:szCs w:val="32"/>
        </w:rPr>
        <w:t>。</w:t>
      </w:r>
    </w:p>
    <w:bookmarkEnd w:id="26"/>
    <w:p w14:paraId="377D9B1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吨税的税目、税率依照本法所附的《吨税税目税率表》执行。</w:t>
      </w:r>
    </w:p>
    <w:p w14:paraId="084484A2">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吨税设置优惠税率和普通税率。</w:t>
      </w:r>
    </w:p>
    <w:p w14:paraId="4676E597">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中华人民共和国籍的应税船舶，船籍国（地区）与中华人民共和国签订含有相互给予船舶税费最惠国待遇条款的条约或者协定的应税船舶，适用优惠税率。</w:t>
      </w:r>
    </w:p>
    <w:p w14:paraId="275B1AD4">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其他应税船舶，适用普通税率。</w:t>
      </w:r>
    </w:p>
    <w:p w14:paraId="028AB2C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吨税按照船舶净吨位和吨税执照期限征收。</w:t>
      </w:r>
    </w:p>
    <w:p w14:paraId="029D40BE">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应税船舶负责人在每次申报纳税时，可以按照《吨税税目税率表》选择申领一种期限的吨税执照。</w:t>
      </w:r>
    </w:p>
    <w:p w14:paraId="6E800B4A">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吨税的应纳税额按照船舶净吨位乘以适用税率计算。</w:t>
      </w:r>
    </w:p>
    <w:p w14:paraId="6953453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吨税由海关负责征收。海关征收吨税应当制发缴款凭证。</w:t>
      </w:r>
    </w:p>
    <w:p w14:paraId="3F453FB2">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应税船舶负责人缴纳吨税或者提供担保后，海关按照其申领的执照期限填发吨税执照。</w:t>
      </w:r>
    </w:p>
    <w:p w14:paraId="1E8EF20A">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应税船舶在进入港口办理入境手续时，应当向海关申报纳税领取吨税执照，或者交验吨税执照（或者申请核验吨税执照电子信息）。应税船舶在离开港口办理出境手续时，应当交验吨税执照（或者申请核验吨税执照电子信息）。</w:t>
      </w:r>
    </w:p>
    <w:p w14:paraId="6D91CF2C">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应税船舶负责人申领吨税执照时，应当向海关提供下列文件：</w:t>
      </w:r>
    </w:p>
    <w:p w14:paraId="7B6D66B3">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（一）船舶国籍证书或者海事部门签发的船舶国籍证书收存证明；</w:t>
      </w:r>
    </w:p>
    <w:p w14:paraId="4936E7D4">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（二）船舶吨位证明。</w:t>
      </w:r>
    </w:p>
    <w:p w14:paraId="4F562998">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应税船舶因不可抗力在未设立海关地点停泊的，船舶负责人应当立即向附近海关报告，并在不可抗力原因消除后，依照本法规定向海关申报纳税。</w:t>
      </w:r>
    </w:p>
    <w:p w14:paraId="2D43AEE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吨税纳税义务发生时间为应税船舶进入港口的当日。</w:t>
      </w:r>
    </w:p>
    <w:p w14:paraId="18F1C14F">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应税船舶在吨税执照期满后尚未离开港口的，应当申领新的吨税执照，自上一次执照期满的次日起续缴吨税。</w:t>
      </w:r>
    </w:p>
    <w:p w14:paraId="756E4CC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下列船舶免征吨税：</w:t>
      </w:r>
    </w:p>
    <w:p w14:paraId="1E0399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（一）应纳税额在人民币五十元以下的船舶；</w:t>
      </w:r>
    </w:p>
    <w:p w14:paraId="22BB033F">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（二）自境外以购买、受赠、继承等方式取得船舶所有权的初次进口到港的空载船舶；</w:t>
      </w:r>
    </w:p>
    <w:p w14:paraId="762ED885">
      <w:pPr>
        <w:ind w:firstLine="632" w:firstLineChars="200"/>
        <w:rPr>
          <w:rFonts w:ascii="Times New Roman" w:hAnsi="Times New Roman" w:cs="仿宋_GB2312"/>
          <w:sz w:val="32"/>
          <w:szCs w:val="32"/>
        </w:rPr>
      </w:pPr>
      <w:r>
        <w:rPr>
          <w:rFonts w:hint="eastAsia" w:ascii="Times New Roman" w:hAnsi="Times New Roman" w:cs="仿宋_GB2312"/>
          <w:sz w:val="32"/>
          <w:szCs w:val="32"/>
        </w:rPr>
        <w:t>（三）吨税执照期满后二十四小时内不上下客货的船舶；</w:t>
      </w:r>
    </w:p>
    <w:p w14:paraId="30864663">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（四）非机动船舶（不包括非机动驳船）；</w:t>
      </w:r>
    </w:p>
    <w:p w14:paraId="3A30A4DB">
      <w:pPr>
        <w:ind w:firstLine="632" w:firstLineChars="200"/>
        <w:rPr>
          <w:rFonts w:ascii="Times New Roman" w:hAnsi="Times New Roman" w:cs="仿宋_GB2312"/>
          <w:sz w:val="32"/>
          <w:szCs w:val="32"/>
        </w:rPr>
      </w:pPr>
      <w:r>
        <w:rPr>
          <w:rFonts w:hint="eastAsia" w:ascii="Times New Roman" w:hAnsi="Times New Roman" w:cs="仿宋_GB2312"/>
          <w:sz w:val="32"/>
          <w:szCs w:val="32"/>
        </w:rPr>
        <w:t>（五）捕捞、养殖渔船；</w:t>
      </w:r>
    </w:p>
    <w:p w14:paraId="31D8AD09">
      <w:pPr>
        <w:ind w:firstLine="632" w:firstLineChars="200"/>
        <w:rPr>
          <w:rFonts w:ascii="Times New Roman" w:hAnsi="Times New Roman" w:cs="仿宋_GB2312"/>
          <w:sz w:val="32"/>
          <w:szCs w:val="32"/>
        </w:rPr>
      </w:pPr>
      <w:r>
        <w:rPr>
          <w:rFonts w:hint="eastAsia" w:ascii="Times New Roman" w:hAnsi="Times New Roman" w:cs="仿宋_GB2312"/>
          <w:sz w:val="32"/>
          <w:szCs w:val="32"/>
        </w:rPr>
        <w:t>（六）避难、防疫隔离、修理、改造、终止运营或者拆解，并不上下客货的船舶；</w:t>
      </w:r>
    </w:p>
    <w:p w14:paraId="31DC7348">
      <w:pPr>
        <w:ind w:firstLine="632" w:firstLineChars="200"/>
        <w:rPr>
          <w:rFonts w:ascii="Times New Roman" w:hAnsi="Times New Roman" w:cs="仿宋_GB2312"/>
          <w:sz w:val="32"/>
          <w:szCs w:val="32"/>
        </w:rPr>
      </w:pPr>
      <w:r>
        <w:rPr>
          <w:rFonts w:hint="eastAsia" w:ascii="Times New Roman" w:hAnsi="Times New Roman" w:cs="仿宋_GB2312"/>
          <w:sz w:val="32"/>
          <w:szCs w:val="32"/>
        </w:rPr>
        <w:t>（七）军队、武装警察部队专用或者征用的船舶；</w:t>
      </w:r>
    </w:p>
    <w:p w14:paraId="778A015E">
      <w:pPr>
        <w:ind w:firstLine="632" w:firstLineChars="200"/>
        <w:rPr>
          <w:rFonts w:ascii="Times New Roman" w:hAnsi="Times New Roman" w:cs="仿宋_GB2312"/>
          <w:sz w:val="32"/>
          <w:szCs w:val="32"/>
        </w:rPr>
      </w:pPr>
      <w:r>
        <w:rPr>
          <w:rFonts w:hint="eastAsia" w:ascii="Times New Roman" w:hAnsi="Times New Roman" w:cs="仿宋_GB2312"/>
          <w:sz w:val="32"/>
          <w:szCs w:val="32"/>
        </w:rPr>
        <w:t>（八）警用船舶；</w:t>
      </w:r>
    </w:p>
    <w:p w14:paraId="5D680EE2">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（九）依照法律规定应当予以免税的外国驻华使领馆、国际组织驻华代表机构及其有关人员的船舶；</w:t>
      </w:r>
    </w:p>
    <w:p w14:paraId="518D92F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（十）国务院规定的其他船舶。</w:t>
      </w:r>
    </w:p>
    <w:p w14:paraId="171BFF1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前款第十项免税规定，由国务院报全国人民代表大会常务委员会备案。</w:t>
      </w:r>
    </w:p>
    <w:p w14:paraId="0DD6FC0D">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在吨税执照期限内，应税船舶发生下列情形之一的，海关按照实际发生的天数批注延长吨税执照期限：</w:t>
      </w:r>
    </w:p>
    <w:p w14:paraId="13B05B09">
      <w:pPr>
        <w:ind w:firstLine="632" w:firstLineChars="200"/>
        <w:rPr>
          <w:rFonts w:ascii="Times New Roman" w:hAnsi="Times New Roman" w:cs="仿宋_GB2312"/>
          <w:sz w:val="32"/>
          <w:szCs w:val="32"/>
        </w:rPr>
      </w:pPr>
      <w:r>
        <w:rPr>
          <w:rFonts w:hint="eastAsia" w:ascii="Times New Roman" w:hAnsi="Times New Roman" w:cs="仿宋_GB2312"/>
          <w:sz w:val="32"/>
          <w:szCs w:val="32"/>
        </w:rPr>
        <w:t>（一）避难、防疫隔离、修理、改造，并不上下客货；</w:t>
      </w:r>
    </w:p>
    <w:p w14:paraId="765242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（二）军队、武装警察部队征用。</w:t>
      </w:r>
    </w:p>
    <w:p w14:paraId="15EABC6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符合本法第九条第一款第五项至第九项、第十条规定的船舶，应当提供海事部门、渔业船舶管理部门等部门、机构出具的具有法律效力的证明文件或者使用关系证明文件，申明免税或者延长吨税执照期限的依据和理由。</w:t>
      </w:r>
    </w:p>
    <w:p w14:paraId="1270FA60">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应税船舶负责人应当自海关填发吨税缴款凭证之日起十五日内缴清税款。未按期缴清税款的，自滞纳税款之日起至缴清税款之日止，按日加收滞纳税款万分之五的税款滞纳金。</w:t>
      </w:r>
    </w:p>
    <w:p w14:paraId="20F7BFD9">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应税船舶到达港口前，经海关核准先行申报并办结出入境手续的，应税船舶负责人应当向海关提供与其依法履行吨税缴纳义务相适应的担保；应税船舶到达港口后，依照本法规定向海关申报纳税。</w:t>
      </w:r>
    </w:p>
    <w:p w14:paraId="11734968">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下列财产、权利可以用于担保：</w:t>
      </w:r>
    </w:p>
    <w:p w14:paraId="69B6BBA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（一）人民币、可自由兑换货币；</w:t>
      </w:r>
    </w:p>
    <w:p w14:paraId="48B8EC5C">
      <w:pPr>
        <w:ind w:firstLine="632" w:firstLineChars="200"/>
        <w:rPr>
          <w:rFonts w:ascii="Times New Roman" w:hAnsi="Times New Roman" w:cs="仿宋_GB2312"/>
          <w:sz w:val="32"/>
          <w:szCs w:val="32"/>
        </w:rPr>
      </w:pPr>
      <w:r>
        <w:rPr>
          <w:rFonts w:hint="eastAsia" w:ascii="Times New Roman" w:hAnsi="Times New Roman" w:cs="仿宋_GB2312"/>
          <w:sz w:val="32"/>
          <w:szCs w:val="32"/>
        </w:rPr>
        <w:t>（二）汇票、本票、支票、债券、存单；</w:t>
      </w:r>
    </w:p>
    <w:p w14:paraId="725D7B7F">
      <w:pPr>
        <w:ind w:firstLine="632" w:firstLineChars="200"/>
        <w:rPr>
          <w:rFonts w:ascii="Times New Roman" w:hAnsi="Times New Roman" w:cs="仿宋_GB2312"/>
          <w:sz w:val="32"/>
          <w:szCs w:val="32"/>
        </w:rPr>
      </w:pPr>
      <w:r>
        <w:rPr>
          <w:rFonts w:hint="eastAsia" w:ascii="Times New Roman" w:hAnsi="Times New Roman" w:cs="仿宋_GB2312"/>
          <w:sz w:val="32"/>
          <w:szCs w:val="32"/>
        </w:rPr>
        <w:t>（三）银行、非银行金融机构的保函；</w:t>
      </w:r>
    </w:p>
    <w:p w14:paraId="57EFC5A1">
      <w:pPr>
        <w:ind w:firstLine="632" w:firstLineChars="200"/>
        <w:rPr>
          <w:rFonts w:ascii="Times New Roman" w:hAnsi="Times New Roman" w:cs="仿宋_GB2312"/>
          <w:sz w:val="32"/>
          <w:szCs w:val="32"/>
        </w:rPr>
      </w:pPr>
      <w:r>
        <w:rPr>
          <w:rFonts w:hint="eastAsia" w:ascii="Times New Roman" w:hAnsi="Times New Roman" w:cs="仿宋_GB2312"/>
          <w:sz w:val="32"/>
          <w:szCs w:val="32"/>
        </w:rPr>
        <w:t>（四）海关依法认可的其他财产、权利。</w:t>
      </w:r>
    </w:p>
    <w:p w14:paraId="42B0817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应税船舶在吨税执照期限内，因修理、改造导致净吨位变化的，吨税执照继续有效。应税船舶办理出入境手续时，应当提供船舶经过修理、改造的证明文件。</w:t>
      </w:r>
    </w:p>
    <w:p w14:paraId="4FEA7948">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应税船舶在吨税执照期限内，因税目税率调整或者船籍改变而导致适用税率变化的，吨税执照继续有效。</w:t>
      </w:r>
    </w:p>
    <w:p w14:paraId="7D0DD8EC">
      <w:pPr>
        <w:ind w:firstLine="632" w:firstLineChars="200"/>
        <w:rPr>
          <w:rFonts w:ascii="Times New Roman" w:hAnsi="Times New Roman" w:cs="仿宋_GB2312"/>
          <w:sz w:val="32"/>
          <w:szCs w:val="32"/>
        </w:rPr>
      </w:pPr>
      <w:r>
        <w:rPr>
          <w:rFonts w:hint="eastAsia" w:ascii="Times New Roman" w:hAnsi="Times New Roman" w:cs="仿宋_GB2312"/>
          <w:sz w:val="32"/>
          <w:szCs w:val="32"/>
        </w:rPr>
        <w:t>因船籍改变而导致适用税率变化的，应税船舶在办理出入境手续时，应当提供船籍改变的证明文件。</w:t>
      </w:r>
    </w:p>
    <w:p w14:paraId="1E7766BF">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吨税执照在期满前毁损或者遗失的，应当向原发照海关书面申请核发吨税执照副本，不再补税。</w:t>
      </w:r>
    </w:p>
    <w:p w14:paraId="76B95187">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海关发现少征或者漏征税款的，应当自应税船舶应当缴纳税款之日起一年内，补征税款。但因应税船舶违反规定造成少征或者漏征税款的，海关可以自应当缴纳税款之日起三年内追征税款，并自应当缴纳税款之日起按日加征少征或者漏征税款万分之五的税款滞纳金。</w:t>
      </w:r>
    </w:p>
    <w:p w14:paraId="0F45F578">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海关发现多征税款的，应当在二十四小时内通知应税船舶办理退还手续，并加算银行同期活期存款利息。</w:t>
      </w:r>
    </w:p>
    <w:p w14:paraId="0EEBC56F">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应税船舶发现多缴税款的，可以自缴纳税款之日起三年内以书面形式要求海关退还多缴的税款并加算银行同期活期存款利息；海关应当自受理退税申请之日起三十日内查实并通知应税船舶办理退还手续。</w:t>
      </w:r>
    </w:p>
    <w:p w14:paraId="4D4889B8">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应税船舶应当自收到本条第二款、第三款规定的通知之日起三个月内办理有关退还手续。</w:t>
      </w:r>
    </w:p>
    <w:p w14:paraId="62D66C18">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应税船舶有下列行为之一的，由海关责令限期改正，处二千元以上三万元以下的罚款；不缴或者少缴应纳税款的，处不缴或者少缴税款百分之五十以上五倍以下的罚款，但罚款不得低于二千元：</w:t>
      </w:r>
    </w:p>
    <w:p w14:paraId="4657AED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（一）未按照规定申报纳税、领取吨税执照；</w:t>
      </w:r>
    </w:p>
    <w:p w14:paraId="53C0D08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（二）未按照规定交验吨税执照（或者申请核验吨税执照电子信息）以及提供其他证明文件。</w:t>
      </w:r>
    </w:p>
    <w:p w14:paraId="6CFBA7F5">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吨税税款、税款滞纳金、罚款以人民币计算。</w:t>
      </w:r>
    </w:p>
    <w:p w14:paraId="7EE58AA1">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吨税的征收，本法未作规定的，依照有关税收征收管理的法律、行政法规的规定执行。</w:t>
      </w:r>
    </w:p>
    <w:p w14:paraId="726414D4">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本法及所附《吨税税目税率表》下列用语的含义：</w:t>
      </w:r>
    </w:p>
    <w:p w14:paraId="16E9B7B4">
      <w:pPr>
        <w:ind w:firstLine="632" w:firstLineChars="200"/>
        <w:rPr>
          <w:rFonts w:ascii="Times New Roman" w:hAnsi="Times New Roman" w:cs="仿宋_GB2312"/>
          <w:sz w:val="32"/>
          <w:szCs w:val="32"/>
        </w:rPr>
      </w:pPr>
      <w:r>
        <w:rPr>
          <w:rFonts w:hint="eastAsia" w:ascii="Times New Roman" w:hAnsi="Times New Roman" w:cs="仿宋_GB2312"/>
          <w:sz w:val="32"/>
          <w:szCs w:val="32"/>
        </w:rPr>
        <w:t>净吨位，是指由船籍国（地区）政府签发或者授权签发的船舶吨位证明书上标明的净吨位。</w:t>
      </w:r>
    </w:p>
    <w:p w14:paraId="350C3869">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非机动船舶，是指自身没有动力装置，依靠外力驱动的船舶。</w:t>
      </w:r>
    </w:p>
    <w:p w14:paraId="19541BB4">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非机动驳船，是指在船舶登记机关登记为驳船的非机动船舶。</w:t>
      </w:r>
    </w:p>
    <w:p w14:paraId="53E607A1">
      <w:pPr>
        <w:ind w:firstLine="632" w:firstLineChars="200"/>
        <w:rPr>
          <w:rFonts w:ascii="Times New Roman" w:hAnsi="Times New Roman" w:cs="仿宋_GB2312"/>
          <w:sz w:val="32"/>
          <w:szCs w:val="32"/>
        </w:rPr>
      </w:pPr>
      <w:r>
        <w:rPr>
          <w:rFonts w:hint="eastAsia" w:ascii="Times New Roman" w:hAnsi="Times New Roman" w:cs="仿宋_GB2312"/>
          <w:sz w:val="32"/>
          <w:szCs w:val="32"/>
        </w:rPr>
        <w:t>捕捞、养殖渔船，是指在中华人民共和国渔业船舶管理部门登记为捕捞船或者养殖船的船舶。</w:t>
      </w:r>
    </w:p>
    <w:p w14:paraId="47AA1E13">
      <w:pPr>
        <w:ind w:firstLine="632" w:firstLineChars="200"/>
        <w:rPr>
          <w:rFonts w:ascii="Times New Roman" w:hAnsi="Times New Roman" w:cs="仿宋_GB2312"/>
          <w:sz w:val="32"/>
          <w:szCs w:val="32"/>
        </w:rPr>
      </w:pPr>
      <w:r>
        <w:rPr>
          <w:rFonts w:hint="eastAsia" w:ascii="Times New Roman" w:hAnsi="Times New Roman" w:cs="仿宋_GB2312"/>
          <w:sz w:val="32"/>
          <w:szCs w:val="32"/>
        </w:rPr>
        <w:t>拖船，是指专门用于拖（推）动运输船舶的专业作业船舶。</w:t>
      </w:r>
    </w:p>
    <w:p w14:paraId="75DBFCD3">
      <w:pPr>
        <w:ind w:firstLine="632" w:firstLineChars="200"/>
        <w:rPr>
          <w:rFonts w:ascii="Times New Roman" w:hAnsi="Times New Roman" w:cs="仿宋_GB2312"/>
          <w:sz w:val="32"/>
          <w:szCs w:val="32"/>
        </w:rPr>
      </w:pPr>
      <w:r>
        <w:rPr>
          <w:rFonts w:hint="eastAsia" w:ascii="Times New Roman" w:hAnsi="Times New Roman" w:cs="仿宋_GB2312"/>
          <w:sz w:val="32"/>
          <w:szCs w:val="32"/>
        </w:rPr>
        <w:t>吨税执照期限，是指按照公历年、日计算的期间。</w:t>
      </w:r>
    </w:p>
    <w:p w14:paraId="4EE693E9">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本法自2018年7月1日起施行。2011年12月5日国务院公布的《中华人民共和国船舶吨税暂行条例》同时废止。</w:t>
      </w:r>
    </w:p>
    <w:p w14:paraId="1375DDAC">
      <w:pPr>
        <w:rPr>
          <w:rFonts w:ascii="Times New Roman" w:hAnsi="Times New Roman" w:eastAsia="宋体" w:cs="宋体"/>
          <w:szCs w:val="32"/>
        </w:rPr>
      </w:pPr>
      <w:r>
        <w:rPr>
          <w:rFonts w:ascii="Times New Roman" w:hAnsi="Times New Roman" w:eastAsia="宋体" w:cs="宋体"/>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4" w:name="附："/>
      <w:bookmarkEnd w:id="24"/>
      <w:r>
        <w:rPr>
          <w:rFonts w:hint="eastAsia" w:ascii="Times New Roman" w:hAnsi="Times New Roman" w:eastAsia="黑体" w:cs="黑体"/>
          <w:sz w:val="32"/>
          <w:lang w:val="en-US" w:eastAsia="zh-CN"/>
        </w:rPr>
        <w:t>附：</w:t>
      </w:r>
    </w:p>
    <w:p w14:paraId="603FDC42">
      <w:pPr>
        <w:jc w:val="center"/>
        <w:rPr>
          <w:rFonts w:hint="eastAsia" w:ascii="Times New Roman" w:hAnsi="Times New Roman" w:cs="仿宋_GB2312"/>
          <w:sz w:val="32"/>
          <w:szCs w:val="32"/>
        </w:rPr>
      </w:pPr>
      <w:bookmarkStart w:id="25" w:name="吨税税目税率表"/>
      <w:bookmarkEnd w:id="25"/>
      <w:r>
        <w:rPr>
          <w:rFonts w:hint="eastAsia" w:ascii="方正小标宋简体" w:hAnsi="方正小标宋简体" w:eastAsia="方正小标宋简体" w:cs="方正小标宋简体"/>
          <w:sz w:val="44"/>
          <w:szCs w:val="44"/>
          <w:lang w:val="en-US" w:eastAsia="zh-CN"/>
        </w:rPr>
        <w:t>吨税税目税率表</w:t>
      </w:r>
    </w:p>
    <w:tbl>
      <w:tblPr>
        <w:tblStyle w:val="6"/>
        <w:tblpPr w:leftFromText="180" w:rightFromText="180" w:vertAnchor="text" w:horzAnchor="page" w:tblpXSpec="center" w:tblpY="624"/>
        <w:tblOverlap w:val="never"/>
        <w:tblW w:w="101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2518"/>
        <w:gridCol w:w="736"/>
        <w:gridCol w:w="950"/>
        <w:gridCol w:w="814"/>
        <w:gridCol w:w="936"/>
        <w:gridCol w:w="810"/>
        <w:gridCol w:w="800"/>
        <w:gridCol w:w="2631"/>
      </w:tblGrid>
      <w:tr w14:paraId="2936E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5" w:hRule="atLeast"/>
          <w:jc w:val="center"/>
        </w:trPr>
        <w:tc>
          <w:tcPr>
            <w:tcW w:w="2518" w:type="dxa"/>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2048892">
            <w:pPr>
              <w:keepNext w:val="0"/>
              <w:keepLines w:val="0"/>
              <w:widowControl/>
              <w:suppressLineNumbers w:val="0"/>
              <w:jc w:val="center"/>
              <w:textAlignment w:val="center"/>
              <w:rPr>
                <w:rFonts w:hint="eastAsia" w:ascii="黑体" w:hAnsi="黑体" w:eastAsia="黑体" w:cs="黑体"/>
                <w:i w:val="0"/>
                <w:iCs w:val="0"/>
                <w:color w:val="333333"/>
                <w:kern w:val="0"/>
                <w:sz w:val="24"/>
                <w:szCs w:val="24"/>
                <w:u w:val="none"/>
                <w:lang w:val="en-US" w:eastAsia="zh-CN" w:bidi="ar"/>
              </w:rPr>
            </w:pPr>
            <w:r>
              <w:rPr>
                <w:rFonts w:hint="eastAsia" w:ascii="黑体" w:hAnsi="黑体" w:eastAsia="黑体" w:cs="黑体"/>
                <w:i w:val="0"/>
                <w:iCs w:val="0"/>
                <w:color w:val="333333"/>
                <w:kern w:val="0"/>
                <w:sz w:val="24"/>
                <w:szCs w:val="24"/>
                <w:u w:val="none"/>
                <w:lang w:val="en-US" w:eastAsia="zh-CN" w:bidi="ar"/>
              </w:rPr>
              <w:t>税　　目</w:t>
            </w:r>
          </w:p>
          <w:p w14:paraId="010E6933">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（按船舶净吨位划分）</w:t>
            </w:r>
          </w:p>
        </w:tc>
        <w:tc>
          <w:tcPr>
            <w:tcW w:w="5046" w:type="dxa"/>
            <w:gridSpan w:val="6"/>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196326A">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税　　率（元/净吨）</w:t>
            </w:r>
          </w:p>
        </w:tc>
        <w:tc>
          <w:tcPr>
            <w:tcW w:w="2631" w:type="dxa"/>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7A97195">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备　　注</w:t>
            </w:r>
          </w:p>
        </w:tc>
      </w:tr>
      <w:tr w14:paraId="4E7F4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828" w:hRule="atLeast"/>
          <w:jc w:val="center"/>
        </w:trPr>
        <w:tc>
          <w:tcPr>
            <w:tcW w:w="2518"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25D1C5E">
            <w:pPr>
              <w:jc w:val="center"/>
              <w:rPr>
                <w:rFonts w:hint="eastAsia" w:ascii="仿宋_GB2312" w:hAnsi="仿宋_GB2312" w:eastAsia="仿宋_GB2312" w:cs="仿宋_GB2312"/>
                <w:i w:val="0"/>
                <w:iCs w:val="0"/>
                <w:color w:val="333333"/>
                <w:sz w:val="24"/>
                <w:szCs w:val="24"/>
                <w:u w:val="none"/>
              </w:rPr>
            </w:pPr>
          </w:p>
        </w:tc>
        <w:tc>
          <w:tcPr>
            <w:tcW w:w="2500" w:type="dxa"/>
            <w:gridSpan w:val="3"/>
            <w:tcBorders>
              <w:top w:val="single" w:color="000000" w:sz="4" w:space="0"/>
              <w:left w:val="single" w:color="000000" w:sz="4" w:space="0"/>
              <w:right w:val="single" w:color="000000" w:sz="4" w:space="0"/>
            </w:tcBorders>
            <w:shd w:val="clear" w:color="auto" w:fill="FFFFFF" w:themeFill="background1"/>
            <w:vAlign w:val="center"/>
          </w:tcPr>
          <w:p w14:paraId="6C253A68">
            <w:pPr>
              <w:keepNext w:val="0"/>
              <w:keepLines w:val="0"/>
              <w:widowControl/>
              <w:suppressLineNumbers w:val="0"/>
              <w:jc w:val="center"/>
              <w:textAlignment w:val="center"/>
              <w:rPr>
                <w:rFonts w:hint="eastAsia" w:ascii="黑体" w:hAnsi="黑体" w:eastAsia="黑体" w:cs="黑体"/>
                <w:i w:val="0"/>
                <w:iCs w:val="0"/>
                <w:color w:val="333333"/>
                <w:kern w:val="0"/>
                <w:sz w:val="24"/>
                <w:szCs w:val="24"/>
                <w:u w:val="none"/>
                <w:lang w:val="en-US" w:eastAsia="zh-CN" w:bidi="ar"/>
              </w:rPr>
            </w:pPr>
            <w:r>
              <w:rPr>
                <w:rFonts w:hint="eastAsia" w:ascii="黑体" w:hAnsi="黑体" w:eastAsia="黑体" w:cs="黑体"/>
                <w:i w:val="0"/>
                <w:iCs w:val="0"/>
                <w:color w:val="333333"/>
                <w:kern w:val="0"/>
                <w:sz w:val="24"/>
                <w:szCs w:val="24"/>
                <w:u w:val="none"/>
                <w:lang w:val="en-US" w:eastAsia="zh-CN" w:bidi="ar"/>
              </w:rPr>
              <w:t>普通税率</w:t>
            </w:r>
          </w:p>
          <w:p w14:paraId="48806454">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（按执照期限划分）</w:t>
            </w:r>
          </w:p>
        </w:tc>
        <w:tc>
          <w:tcPr>
            <w:tcW w:w="2546" w:type="dxa"/>
            <w:gridSpan w:val="3"/>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163D27E">
            <w:pPr>
              <w:keepNext w:val="0"/>
              <w:keepLines w:val="0"/>
              <w:widowControl/>
              <w:suppressLineNumbers w:val="0"/>
              <w:jc w:val="center"/>
              <w:textAlignment w:val="center"/>
              <w:rPr>
                <w:rFonts w:hint="eastAsia" w:ascii="黑体" w:hAnsi="黑体" w:eastAsia="黑体" w:cs="黑体"/>
                <w:i w:val="0"/>
                <w:iCs w:val="0"/>
                <w:color w:val="333333"/>
                <w:kern w:val="0"/>
                <w:sz w:val="24"/>
                <w:szCs w:val="24"/>
                <w:u w:val="none"/>
                <w:lang w:val="en-US" w:eastAsia="zh-CN" w:bidi="ar"/>
              </w:rPr>
            </w:pPr>
            <w:r>
              <w:rPr>
                <w:rFonts w:hint="eastAsia" w:ascii="黑体" w:hAnsi="黑体" w:eastAsia="黑体" w:cs="黑体"/>
                <w:i w:val="0"/>
                <w:iCs w:val="0"/>
                <w:color w:val="333333"/>
                <w:kern w:val="0"/>
                <w:sz w:val="24"/>
                <w:szCs w:val="24"/>
                <w:u w:val="none"/>
                <w:lang w:val="en-US" w:eastAsia="zh-CN" w:bidi="ar"/>
              </w:rPr>
              <w:t>优惠税率</w:t>
            </w:r>
          </w:p>
          <w:p w14:paraId="1D19431B">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（按执照期限划分）</w:t>
            </w:r>
          </w:p>
        </w:tc>
        <w:tc>
          <w:tcPr>
            <w:tcW w:w="2631"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1D22135">
            <w:pPr>
              <w:jc w:val="center"/>
              <w:rPr>
                <w:rFonts w:hint="eastAsia" w:ascii="仿宋_GB2312" w:hAnsi="仿宋_GB2312" w:eastAsia="仿宋_GB2312" w:cs="仿宋_GB2312"/>
                <w:i w:val="0"/>
                <w:iCs w:val="0"/>
                <w:color w:val="333333"/>
                <w:sz w:val="24"/>
                <w:szCs w:val="24"/>
                <w:u w:val="none"/>
              </w:rPr>
            </w:pPr>
          </w:p>
        </w:tc>
      </w:tr>
      <w:tr w14:paraId="22055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85" w:hRule="atLeast"/>
          <w:jc w:val="center"/>
        </w:trPr>
        <w:tc>
          <w:tcPr>
            <w:tcW w:w="2518"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6105895">
            <w:pPr>
              <w:jc w:val="center"/>
              <w:rPr>
                <w:rFonts w:hint="eastAsia" w:ascii="仿宋_GB2312" w:hAnsi="仿宋_GB2312" w:eastAsia="仿宋_GB2312" w:cs="仿宋_GB2312"/>
                <w:i w:val="0"/>
                <w:iCs w:val="0"/>
                <w:color w:val="333333"/>
                <w:sz w:val="24"/>
                <w:szCs w:val="24"/>
                <w:u w:val="none"/>
              </w:rPr>
            </w:pPr>
          </w:p>
        </w:tc>
        <w:tc>
          <w:tcPr>
            <w:tcW w:w="7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ED69B28">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1年</w:t>
            </w:r>
          </w:p>
        </w:tc>
        <w:tc>
          <w:tcPr>
            <w:tcW w:w="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28F37D8">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90日</w:t>
            </w:r>
          </w:p>
        </w:tc>
        <w:tc>
          <w:tcPr>
            <w:tcW w:w="81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A6BDD2D">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30日</w:t>
            </w:r>
          </w:p>
        </w:tc>
        <w:tc>
          <w:tcPr>
            <w:tcW w:w="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0B5D0D1F">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1年</w:t>
            </w:r>
          </w:p>
        </w:tc>
        <w:tc>
          <w:tcPr>
            <w:tcW w:w="8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10B95C9">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90日</w:t>
            </w:r>
          </w:p>
        </w:tc>
        <w:tc>
          <w:tcPr>
            <w:tcW w:w="80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8243E6D">
            <w:pPr>
              <w:keepNext w:val="0"/>
              <w:keepLines w:val="0"/>
              <w:widowControl/>
              <w:suppressLineNumbers w:val="0"/>
              <w:jc w:val="center"/>
              <w:textAlignment w:val="center"/>
              <w:rPr>
                <w:rFonts w:hint="eastAsia" w:ascii="黑体" w:hAnsi="黑体" w:eastAsia="黑体" w:cs="黑体"/>
                <w:i w:val="0"/>
                <w:iCs w:val="0"/>
                <w:color w:val="333333"/>
                <w:sz w:val="24"/>
                <w:szCs w:val="24"/>
                <w:u w:val="none"/>
              </w:rPr>
            </w:pPr>
            <w:r>
              <w:rPr>
                <w:rFonts w:hint="eastAsia" w:ascii="黑体" w:hAnsi="黑体" w:eastAsia="黑体" w:cs="黑体"/>
                <w:i w:val="0"/>
                <w:iCs w:val="0"/>
                <w:color w:val="333333"/>
                <w:kern w:val="0"/>
                <w:sz w:val="24"/>
                <w:szCs w:val="24"/>
                <w:u w:val="none"/>
                <w:lang w:val="en-US" w:eastAsia="zh-CN" w:bidi="ar"/>
              </w:rPr>
              <w:t>30日</w:t>
            </w:r>
          </w:p>
        </w:tc>
        <w:tc>
          <w:tcPr>
            <w:tcW w:w="2631"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914D855">
            <w:pPr>
              <w:jc w:val="center"/>
              <w:rPr>
                <w:rFonts w:hint="eastAsia" w:ascii="仿宋_GB2312" w:hAnsi="仿宋_GB2312" w:eastAsia="仿宋_GB2312" w:cs="仿宋_GB2312"/>
                <w:i w:val="0"/>
                <w:iCs w:val="0"/>
                <w:color w:val="333333"/>
                <w:sz w:val="24"/>
                <w:szCs w:val="24"/>
                <w:u w:val="none"/>
              </w:rPr>
            </w:pPr>
          </w:p>
        </w:tc>
      </w:tr>
      <w:tr w14:paraId="7C962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85" w:hRule="atLeast"/>
          <w:jc w:val="center"/>
        </w:trPr>
        <w:tc>
          <w:tcPr>
            <w:tcW w:w="25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0AF21149">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不超过2000净吨</w:t>
            </w:r>
          </w:p>
        </w:tc>
        <w:tc>
          <w:tcPr>
            <w:tcW w:w="7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48CE486">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12.6</w:t>
            </w:r>
          </w:p>
        </w:tc>
        <w:tc>
          <w:tcPr>
            <w:tcW w:w="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2838156">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4.2</w:t>
            </w:r>
          </w:p>
        </w:tc>
        <w:tc>
          <w:tcPr>
            <w:tcW w:w="81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7EB31C3">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2.1</w:t>
            </w:r>
          </w:p>
        </w:tc>
        <w:tc>
          <w:tcPr>
            <w:tcW w:w="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033D1D4">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9.0</w:t>
            </w:r>
          </w:p>
        </w:tc>
        <w:tc>
          <w:tcPr>
            <w:tcW w:w="8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AEF7FAA">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3.0</w:t>
            </w:r>
          </w:p>
        </w:tc>
        <w:tc>
          <w:tcPr>
            <w:tcW w:w="80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0DDE44EB">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1.5</w:t>
            </w:r>
          </w:p>
        </w:tc>
        <w:tc>
          <w:tcPr>
            <w:tcW w:w="2631" w:type="dxa"/>
            <w:vMerge w:val="restart"/>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F270A45">
            <w:pPr>
              <w:keepNext w:val="0"/>
              <w:keepLines w:val="0"/>
              <w:widowControl/>
              <w:suppressLineNumbers w:val="0"/>
              <w:jc w:val="both"/>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1.拖船按照发动机功率每千瓦折合净吨位0.67吨。</w:t>
            </w:r>
            <w:r>
              <w:rPr>
                <w:rFonts w:hint="eastAsia" w:ascii="仿宋_GB2312" w:hAnsi="仿宋_GB2312" w:eastAsia="仿宋_GB2312" w:cs="仿宋_GB2312"/>
                <w:i w:val="0"/>
                <w:iCs w:val="0"/>
                <w:color w:val="333333"/>
                <w:kern w:val="0"/>
                <w:sz w:val="24"/>
                <w:szCs w:val="24"/>
                <w:u w:val="none"/>
                <w:lang w:val="en-US" w:eastAsia="zh-CN" w:bidi="ar"/>
              </w:rPr>
              <w:br w:type="textWrapping"/>
            </w:r>
            <w:r>
              <w:rPr>
                <w:rFonts w:hint="eastAsia" w:ascii="仿宋_GB2312" w:hAnsi="仿宋_GB2312" w:eastAsia="仿宋_GB2312" w:cs="仿宋_GB2312"/>
                <w:i w:val="0"/>
                <w:iCs w:val="0"/>
                <w:color w:val="333333"/>
                <w:kern w:val="0"/>
                <w:sz w:val="24"/>
                <w:szCs w:val="24"/>
                <w:u w:val="none"/>
                <w:lang w:val="en-US" w:eastAsia="zh-CN" w:bidi="ar"/>
              </w:rPr>
              <w:t>2.无法提供净吨位证明文件的游艇，按照发动机功率每千瓦折合净吨位0.05吨。</w:t>
            </w:r>
            <w:r>
              <w:rPr>
                <w:rFonts w:hint="eastAsia" w:ascii="仿宋_GB2312" w:hAnsi="仿宋_GB2312" w:eastAsia="仿宋_GB2312" w:cs="仿宋_GB2312"/>
                <w:i w:val="0"/>
                <w:iCs w:val="0"/>
                <w:color w:val="333333"/>
                <w:kern w:val="0"/>
                <w:sz w:val="24"/>
                <w:szCs w:val="24"/>
                <w:u w:val="none"/>
                <w:lang w:val="en-US" w:eastAsia="zh-CN" w:bidi="ar"/>
              </w:rPr>
              <w:br w:type="textWrapping"/>
            </w:r>
            <w:r>
              <w:rPr>
                <w:rFonts w:hint="eastAsia" w:ascii="仿宋_GB2312" w:hAnsi="仿宋_GB2312" w:eastAsia="仿宋_GB2312" w:cs="仿宋_GB2312"/>
                <w:i w:val="0"/>
                <w:iCs w:val="0"/>
                <w:color w:val="333333"/>
                <w:kern w:val="0"/>
                <w:sz w:val="24"/>
                <w:szCs w:val="24"/>
                <w:u w:val="none"/>
                <w:lang w:val="en-US" w:eastAsia="zh-CN" w:bidi="ar"/>
              </w:rPr>
              <w:t>3.拖船和非机动驳船分别按相同净吨位船舶税率的50%计征税款。</w:t>
            </w:r>
          </w:p>
        </w:tc>
      </w:tr>
      <w:tr w14:paraId="6C17D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280" w:hRule="atLeast"/>
          <w:jc w:val="center"/>
        </w:trPr>
        <w:tc>
          <w:tcPr>
            <w:tcW w:w="25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05321BA">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超过2000净吨，但不超过10000净吨</w:t>
            </w:r>
          </w:p>
        </w:tc>
        <w:tc>
          <w:tcPr>
            <w:tcW w:w="7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A8F00F2">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24.0</w:t>
            </w:r>
          </w:p>
        </w:tc>
        <w:tc>
          <w:tcPr>
            <w:tcW w:w="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1D31D25D">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8.0</w:t>
            </w:r>
          </w:p>
        </w:tc>
        <w:tc>
          <w:tcPr>
            <w:tcW w:w="81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123101C">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4.0</w:t>
            </w:r>
          </w:p>
        </w:tc>
        <w:tc>
          <w:tcPr>
            <w:tcW w:w="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A74D3B5">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17.4</w:t>
            </w:r>
          </w:p>
        </w:tc>
        <w:tc>
          <w:tcPr>
            <w:tcW w:w="8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6EEB8603">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5.8</w:t>
            </w:r>
          </w:p>
        </w:tc>
        <w:tc>
          <w:tcPr>
            <w:tcW w:w="80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2C32B06">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2.9</w:t>
            </w:r>
          </w:p>
        </w:tc>
        <w:tc>
          <w:tcPr>
            <w:tcW w:w="2631"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421B39A">
            <w:pPr>
              <w:jc w:val="center"/>
              <w:rPr>
                <w:rFonts w:hint="eastAsia" w:ascii="仿宋_GB2312" w:hAnsi="仿宋_GB2312" w:eastAsia="仿宋_GB2312" w:cs="仿宋_GB2312"/>
                <w:i w:val="0"/>
                <w:iCs w:val="0"/>
                <w:color w:val="333333"/>
                <w:sz w:val="24"/>
                <w:szCs w:val="24"/>
                <w:u w:val="none"/>
              </w:rPr>
            </w:pPr>
          </w:p>
        </w:tc>
      </w:tr>
      <w:tr w14:paraId="30D24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1400" w:hRule="atLeast"/>
          <w:jc w:val="center"/>
        </w:trPr>
        <w:tc>
          <w:tcPr>
            <w:tcW w:w="25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39377B35">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超过10000净吨，但不超过50000净吨</w:t>
            </w:r>
          </w:p>
        </w:tc>
        <w:tc>
          <w:tcPr>
            <w:tcW w:w="7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9814AA9">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27.6</w:t>
            </w:r>
          </w:p>
        </w:tc>
        <w:tc>
          <w:tcPr>
            <w:tcW w:w="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1B6C9E8">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9.2</w:t>
            </w:r>
          </w:p>
        </w:tc>
        <w:tc>
          <w:tcPr>
            <w:tcW w:w="81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AFB970D">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4.6</w:t>
            </w:r>
          </w:p>
        </w:tc>
        <w:tc>
          <w:tcPr>
            <w:tcW w:w="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9326F76">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19.8</w:t>
            </w:r>
          </w:p>
        </w:tc>
        <w:tc>
          <w:tcPr>
            <w:tcW w:w="8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036C0B8">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6.6</w:t>
            </w:r>
          </w:p>
        </w:tc>
        <w:tc>
          <w:tcPr>
            <w:tcW w:w="80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2C6D1D1">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3.3</w:t>
            </w:r>
          </w:p>
        </w:tc>
        <w:tc>
          <w:tcPr>
            <w:tcW w:w="2631"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2115A64">
            <w:pPr>
              <w:jc w:val="center"/>
              <w:rPr>
                <w:rFonts w:hint="eastAsia" w:ascii="仿宋_GB2312" w:hAnsi="仿宋_GB2312" w:eastAsia="仿宋_GB2312" w:cs="仿宋_GB2312"/>
                <w:i w:val="0"/>
                <w:iCs w:val="0"/>
                <w:color w:val="333333"/>
                <w:sz w:val="24"/>
                <w:szCs w:val="24"/>
                <w:u w:val="none"/>
              </w:rPr>
            </w:pPr>
          </w:p>
        </w:tc>
      </w:tr>
      <w:tr w14:paraId="31259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85" w:hRule="atLeast"/>
          <w:jc w:val="center"/>
        </w:trPr>
        <w:tc>
          <w:tcPr>
            <w:tcW w:w="2518"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2AE2183">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超过50000净吨</w:t>
            </w:r>
          </w:p>
        </w:tc>
        <w:tc>
          <w:tcPr>
            <w:tcW w:w="7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42BA82D7">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31.8</w:t>
            </w:r>
          </w:p>
        </w:tc>
        <w:tc>
          <w:tcPr>
            <w:tcW w:w="9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0A1BDB1">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10.6</w:t>
            </w:r>
          </w:p>
        </w:tc>
        <w:tc>
          <w:tcPr>
            <w:tcW w:w="81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E669C2C">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5.3</w:t>
            </w:r>
          </w:p>
        </w:tc>
        <w:tc>
          <w:tcPr>
            <w:tcW w:w="936"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7CF3D10">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22.8</w:t>
            </w:r>
          </w:p>
        </w:tc>
        <w:tc>
          <w:tcPr>
            <w:tcW w:w="81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77902980">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7.6</w:t>
            </w:r>
          </w:p>
        </w:tc>
        <w:tc>
          <w:tcPr>
            <w:tcW w:w="80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255B95A8">
            <w:pPr>
              <w:keepNext w:val="0"/>
              <w:keepLines w:val="0"/>
              <w:widowControl/>
              <w:suppressLineNumbers w:val="0"/>
              <w:jc w:val="center"/>
              <w:textAlignment w:val="center"/>
              <w:rPr>
                <w:rFonts w:hint="eastAsia" w:ascii="仿宋_GB2312" w:hAnsi="仿宋_GB2312" w:eastAsia="仿宋_GB2312" w:cs="仿宋_GB2312"/>
                <w:i w:val="0"/>
                <w:iCs w:val="0"/>
                <w:color w:val="333333"/>
                <w:sz w:val="24"/>
                <w:szCs w:val="24"/>
                <w:u w:val="none"/>
              </w:rPr>
            </w:pPr>
            <w:r>
              <w:rPr>
                <w:rFonts w:hint="eastAsia" w:ascii="仿宋_GB2312" w:hAnsi="仿宋_GB2312" w:eastAsia="仿宋_GB2312" w:cs="仿宋_GB2312"/>
                <w:i w:val="0"/>
                <w:iCs w:val="0"/>
                <w:color w:val="333333"/>
                <w:kern w:val="0"/>
                <w:sz w:val="24"/>
                <w:szCs w:val="24"/>
                <w:u w:val="none"/>
                <w:lang w:val="en-US" w:eastAsia="zh-CN" w:bidi="ar"/>
              </w:rPr>
              <w:t>3.8</w:t>
            </w:r>
          </w:p>
        </w:tc>
        <w:tc>
          <w:tcPr>
            <w:tcW w:w="2631" w:type="dxa"/>
            <w:vMerge w:val="continue"/>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14:paraId="5FA3C37A">
            <w:pPr>
              <w:jc w:val="center"/>
              <w:rPr>
                <w:rFonts w:hint="eastAsia" w:ascii="仿宋_GB2312" w:hAnsi="仿宋_GB2312" w:eastAsia="仿宋_GB2312" w:cs="仿宋_GB2312"/>
                <w:i w:val="0"/>
                <w:iCs w:val="0"/>
                <w:color w:val="333333"/>
                <w:sz w:val="24"/>
                <w:szCs w:val="24"/>
                <w:u w:val="none"/>
              </w:rPr>
            </w:pPr>
          </w:p>
        </w:tc>
      </w:tr>
    </w:tbl>
    <w:p w14:paraId="318037E0">
      <w:pPr>
        <w:rPr>
          <w:rFonts w:hint="eastAsia" w:ascii="仿宋_GB2312" w:hAnsi="仿宋_GB2312" w:eastAsia="仿宋_GB2312" w:cs="仿宋_GB2312"/>
          <w:sz w:val="32"/>
          <w:szCs w:val="32"/>
        </w:rPr>
      </w:pPr>
    </w:p>
    <w:p w14:paraId="4595E441">
      <w:pPr>
        <w:jc w:val="center"/>
        <w:rPr>
          <w:rFonts w:ascii="Times New Roman" w:hAnsi="Times New Roman" w:eastAsia="黑体" w:cs="黑体"/>
          <w:szCs w:val="32"/>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CESI小标宋-GB18030"/>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4F05F9"/>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B86188"/>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2520</Words>
  <Characters>2537</Characters>
  <Lines>87</Lines>
  <Paragraphs>24</Paragraphs>
  <TotalTime>0</TotalTime>
  <ScaleCrop>false</ScaleCrop>
  <LinksUpToDate>false</LinksUpToDate>
  <CharactersWithSpaces>2560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聂颖</cp:lastModifiedBy>
  <cp:lastPrinted>2024-07-19T01:09:00Z</cp:lastPrinted>
  <dcterms:modified xsi:type="dcterms:W3CDTF">2025-08-19T02:49:11Z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A00494D059C74A5CAA3260C111BDC9ED_13</vt:lpwstr>
  </property>
  <property fmtid="{D5CDD505-2E9C-101B-9397-08002B2CF9AE}" pid="3" name="KSOProductBuildVer">
    <vt:lpwstr>2052-12.1.0.21915</vt:lpwstr>
  </property>
  <property fmtid="{D5CDD505-2E9C-101B-9397-08002B2CF9AE}" pid="4" name="KSOTemplateDocerSaveRecord">
    <vt:lpwstr>eyJoZGlkIjoiNTFlYjJkNmQ0NzMyMGY4MjViMmE4ZmQ4ZDVhNDI0NjYiLCJ1c2VySWQiOiI0MDI0Mjg2MjAifQ==</vt:lpwstr>
  </property>
</Properties>
</file>