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防未成年人犯罪法"/>
      <w:bookmarkEnd w:id="0"/>
      <w:r>
        <w:rPr>
          <w:rFonts w:ascii="方正小标宋简体" w:eastAsia="方正小标宋简体" w:hAnsi="方正小标宋简体" w:cs="方正小标宋简体" w:hint="eastAsia"/>
          <w:color w:val="333333"/>
          <w:sz w:val="44"/>
          <w:szCs w:val="44"/>
          <w:shd w:val="clear" w:color="auto" w:fill="FFFFFF"/>
        </w:rPr>
        <w:t>中华人民共和国预防未成年人犯罪法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（1999年6月28日第九届全国人民代表大会常务委员会第十次会议通过　根据2012年10月26日第十一届全国人民代表大会常务委员会第二十九次会议《关于修改〈中华人民共和国预防未成年人犯罪法〉的决定》修正　2020年12月26日第十三届全国人民代表大会常务委员会第二十四次会议修订）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预防犯罪的教育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对不良行为的干预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对严重不良行为的矫治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对重新犯罪的预防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为了保障未成年人身心健康，培养未成年人良好品行，有效预防未成年人违法犯罪，制定本法。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预防未成年人犯罪，立足于教育和保护未成年人相结合，坚持预防为主、提前干预，对未成年人的不良行为和严重不良行为及时进行分级预防、干预和矫治。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开展预防未成年人犯罪工作，应当尊重未成年人人格尊严，保护未成年人的名誉权、隐私权和个人信息等合法权益。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预防未成年人犯罪，在各级人民政府组织下，实行综合治理。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各级人民政府在预防未成年人犯罪方面的工作职责是：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（一）制定预防未成年人犯罪工作规划；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（二）组织公安、教育、民政、文化和旅游、市场监督管理、网信、卫生健康、新闻出版、电影、广播电视、司法行政等有关部门开展预防未成年人犯罪工作；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（三）为预防未成年人犯罪工作提供政策支持和经费保障；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（四）对本法的实施情况和工作规划的执行情况进行检查；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（五）组织开展预防未成年人犯罪宣传教育；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（六）其他预防未成年人犯罪工作职责。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国家加强专门学校建设，对有严重不良行为的未成年人进行专门教育。专门教育是国民教育体系的组成部分，是对有严重不良行为的未成年人进行教育和矫治的重要保护处分措施。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省级人民政府应当将专门教育发展和专门学校建设纳入经济社会发展规划。县级以上地方人民政府成立专门教育指导委员会，根据需要合理设置专门学校。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专门学校建设和专门教育具体办法，由国务院规定。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公安机关、人民检察院、人民法院、司法行政部门应当由专门机构或者经过专业培训、熟悉未成年人身心特点的专门人员负责预防未成年人犯罪工作。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有关社会组织，应当协助各级人民政府及其有关部门、人民检察院和人民法院做好预防未成年人犯罪工作，为预防未成年人犯罪培育社会力量，提供支持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国家鼓励、支持和指导社会工作服务机构等社会组织参与预防未成年人犯罪相关工作，并加强监督。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任何组织或者个人不得教唆、胁迫、引诱未成年人实施不良行为或者严重不良行为，以及为未成年人实施上述行为提供条件。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未成年人应当遵守法律法规及社会公共道德规范，树立自尊、自律、自强意识，增强辨别是非和自我保护的能力，自觉抵制各种不良行为以及违法犯罪行为的引诱和侵害。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预防未成年人犯罪，应当结合未成年人不同年龄的生理、心理特点，加强青春期教育、心理关爱、心理矫治和预防犯罪对策的研究。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国家鼓励和支持预防未成年人犯罪相关学科建设、专业设置、人才培养及科学研究，开展国际交流与合作。</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国家对预防未成年人犯罪工作有显著成绩的组织和个人，给予表彰和奖励。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预防犯罪的教育"/>
      <w:bookmarkEnd w:id="18"/>
      <w:r>
        <w:rPr>
          <w:rFonts w:ascii="Times New Roman" w:eastAsia="黑体" w:hAnsi="Times New Roman" w:cs="黑体" w:hint="eastAsia"/>
          <w:szCs w:val="32"/>
        </w:rPr>
        <w:t>第二章　预防犯罪的教育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国家、社会、学校和家庭应当对未成年人加强社会主义核心价值观教育，开展预防犯罪教育，增强未成年人的法治观念，使未成年人树立遵纪守法和防范违法犯罪的意识，提高自我管控能力。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未成年人的预防犯罪教育负有直接责任，应当依法履行监护职责，树立优良家风，培养未成年人良好品行；发现未成年人心理或者行为异常的，应当及时了解情况并进行教育、引导和劝诫，不得拒绝或者怠于履行监护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教育行政部门、学校应当将预防犯罪教育纳入学校教学计划，指导教职员工结合未成年人的特点，采取多种方式对未成年学生进行有针对性的预防犯罪教育。</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学校应当聘任从事法治教育的专职或者兼职教师，并可以从司法和执法机关、法学教育和法律服务机构等单位聘请法治副校长、校外法治辅导员。</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学校应当配备专职或者兼职的心理健康教育教师，开展心理健康教育。学校可以根据实际情况与专业心理健康机构合作，建立心理健康筛查和早期干预机制，预防和解决学生心理、行为异常问题。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学校应当与未成年学生的父母或者其他监护人加强沟通，共同做好未成年学生心理健康教育；发现未成年学生可能患有精神障碍的，应当立即告知其父母或者其他监护人送相关专业机构诊治。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教育行政部门应当会同有关部门建立学生欺凌防控制度。学校应当加强日常安全管理，完善学生欺凌发现和处置的工作流程，严格排查并及时消除可能导致学生欺凌行为的各种隐患。</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教育行政部门鼓励和支持学校聘请社会工作者长期或者定期进驻学校，协助开展道德教育、法治教育、生命教育和心理健康教育，参与预防和处理学生欺凌等行为。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教育行政部门、学校应当通过举办讲座、座谈、培训等活动，介绍科学合理的教育方法，指导教职员工、未成年学生的父母或者其他监护人有效预防未成年人犯罪。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学校应当将预防犯罪教育计划告知未成年学生的父母或者其他监护人。未成年学生的父母或者其他监护人应当配合学校对未成年学生进行有针对性的预防犯罪教育。</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教育行政部门应当将预防犯罪教育的工作效果纳入学校年度考核内容。</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人民检察院、人民法院、共产主义青年团、少年先锋队、妇女联合会、残疾人联合会、关心下一代工作委员会等应当结合实际，组织、举办多种形式的预防未成年人犯罪宣传教育活动。有条件的地方可以建立青少年法治教育基地，对未成年人开展法治教育。</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青少年宫、儿童活动中心等校外活动场所应当把预防犯罪教育作为一项重要的工作内容，开展多种形式的宣传教育活动。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职业培训机构、用人单位在对已满十六周岁准备就业的未成年人进行职业培训时，应当将预防犯罪教育纳入培训内容。</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对不良行为的干预"/>
      <w:bookmarkEnd w:id="32"/>
      <w:r>
        <w:rPr>
          <w:rFonts w:ascii="Times New Roman" w:eastAsia="黑体" w:hAnsi="Times New Roman" w:cs="黑体" w:hint="eastAsia"/>
          <w:szCs w:val="32"/>
        </w:rPr>
        <w:t>第三章　对不良行为的干预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本法所称不良行为，是指未成年人实施的不利于其健康成长的下列行为：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（二）多次旷课、逃学；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（三）无故夜不归宿、离家出走；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（五）与社会上具有不良习性的人交往，组织或者参加实施不良行为的团伙；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（六）进入法律法规规定未成年人不宜进入的场所；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（七）参与赌博、变相赌博，或者参加封建迷信、邪教等活动；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（八）阅览、观看或者收听宣扬淫秽、色情、暴力、恐怖、极端等内容的读物、音像制品或者网络信息等；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（九）其他不利于未成年人身心健康成长的不良行为。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未成年人的父母或者其他监护人发现未成年人有不良行为的，应当及时制止并加强管教。</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公安机关、居民委员会、村民委员会发现本辖区内未成年人有不良行为的，应当及时制止，并督促其父母或者其他监护人依法履行监护职责。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学校对有不良行为的未成年学生，应当加强管理教育，不得歧视；对拒不改正或者情节严重的，学校可以根据情况予以处分或者采取以下管理教育措施：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（一）予以训导；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（二）要求遵守特定的行为规范；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（三）要求参加特定的专题教育；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（四）要求参加校内服务活动；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（五）要求接受社会工作者或者其他专业人员的心理辅导和行为干预；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（六）其他适当的管理教育措施。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学校和家庭应当加强沟通，建立家校合作机制。学校决定对未成年学生采取管理教育措施的，应当及时告知其父母或者其他监护人；未成年学生的父母或者其他监护人应当支持、配合学校进行管理教育。</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未成年学生偷窃少量财物，或者有殴打、辱骂、恐吓、强行索要财物等学生欺凌行为，情节轻微的，可以由学校依照本法第三十一条规定采取相应的管理教育措施。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未成年学生旷课、逃学的，学校应当及时联系其父母或者其他监护人，了解有关情况；无正当理由的，学校和未成年学生的父母或者其他监护人应当督促其返校学习。</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未成年人无故夜不归宿、离家出走的，父母或者其他监护人、所在的寄宿制学校应当及时查找，必要时向公安机关报告。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收留夜不归宿、离家出走未成年人的，应当及时联系其父母或者其他监护人、所在学校；无法取得联系的，应当及时向公安机关报告。</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夜不归宿、离家出走或者流落街头的未成年人，公安机关、公共场所管理机构等发现或者接到报告后，应当及时采取有效保护措施，并通知其父母或者其他监护人、所在的寄宿制学校，必要时应当护送其返回住所、学校；无法与其父母或者其他监护人、学校取得联系的，应当护送未成年人到救助保护机构接受救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未成年人的父母或者其他监护人、学校发现未成年人组织或者参加实施不良行为的团伙，应当及时制止；发现该团伙有违法犯罪嫌疑的，应当立即向公安机关报告。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对严重不良行为的矫治"/>
      <w:bookmarkEnd w:id="43"/>
      <w:r>
        <w:rPr>
          <w:rFonts w:ascii="Times New Roman" w:eastAsia="黑体" w:hAnsi="Times New Roman" w:cs="黑体" w:hint="eastAsia"/>
          <w:szCs w:val="32"/>
        </w:rPr>
        <w:t>第四章　对严重不良行为的矫治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本法所称严重不良行为，是指未成年人实施的有刑法规定、因不满法定刑事责任年龄不予刑事处罚的行为，以及严重危害社会的下列行为：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（一）结伙斗殴，追逐、拦截他人，强拿硬要或者任意损毁、占用公私财物等寻衅滋事行为；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（二）非法携带枪支、弹药或者弩、匕首等国家规定的管制器具；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（三）殴打、辱骂、恐吓，或者故意伤害他人身体；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（四）盗窃、哄抢、抢夺或者故意损毁公私财物；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（五）传播淫秽的读物、音像制品或者信息等；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（六）卖淫、嫖娼，或者进行淫秽表演；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（七）吸食、注射毒品，或者向他人提供毒品；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（八）参与赌博赌资较大；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（九）其他严重危害社会的行为。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公安机关接到举报或者发现未成年人有严重不良行为的，应当及时制止，依法调查处理，并可以责令其父母或者其他监护人消除或者减轻违法后果，采取措施严加管教。</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对有严重不良行为的未成年人，公安机关可以根据具体情况，采取以下矫治教育措施：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（一）予以训诫；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（二）责令赔礼道歉、赔偿损失；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（三）责令具结悔过；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（四）责令定期报告活动情况；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（五）责令遵守特定的行为规范，不得实施特定行为、接触特定人员或者进入特定场所；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（六）责令接受心理辅导、行为矫治；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（七）责令参加社会服务活动；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（八）责令接受社会观护，由社会组织、有关机构在适当场所对未成年人进行教育、监督和管束；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（九）其他适当的矫治教育措施。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公安机关在对未成年人进行矫治教育时，可以根据需要邀请学校、居民委员会、村民委员会以及社会工作服务机构等社会组织参与。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未成年人的父母或者其他监护人应当积极配合矫治教育措施的实施，不得妨碍阻挠或者放任不管。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未成年人有下列情形之一的，经专门教育指导委员会评估同意，教育行政部门会同公安机关可以决定将其送入专门学校接受专门教育：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（一）实施严重危害社会的行为，情节恶劣或者造成严重后果；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（二）多次实施严重危害社会的行为；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（三）拒不接受或者配合本法第四十一条规定的矫治教育措施；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未成年人实施刑法规定的行为、因不满法定刑事责任年龄不予刑事处罚的，经专门教育指导委员会评估同意，教育行政部门会同公安机关可以决定对其进行专门矫治教育。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省级人民政府应当结合本地的实际情况，至少确定一所专门学校按照分校区、分班级等方式设置专门场所，对前款规定的未成年人进行专门矫治教育。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前款规定的专门场所实行闭环管理，公安机关、司法行政部门负责未成年人的矫治工作，教育行政部门承担未成年人的教育工作。</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原决定机关决定将未成年学生转回普通学校的，其原所在学校不得拒绝接收；因特殊情况，不适宜转回原所在学校的，由教育行政部门安排转学。</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门学校应当对接受专门教育的未成年人分级分类进行教育和矫治，有针对性地开展道德教育、法治教育、心理健康教育，并根据实际情况进行职业教育；对没有完成义务教育的未成年人，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专门学校的未成年学生的学籍保留在原学校，符合毕业条件的，原学校应当颁发毕业证书。</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专门学校应当与接受专门教育的未成年人的父母或者其他监护人加强联系，定期向其反馈未成年人的矫治和教育情况，为父母或者其他监护人、亲属等看望未成年人提供便利。</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未成年人及其父母或者其他监护人对本章规定的行政决定不服的，可以依法提起行政复议或者行政诉讼。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对重新犯罪的预防"/>
      <w:bookmarkEnd w:id="56"/>
      <w:r>
        <w:rPr>
          <w:rFonts w:ascii="Times New Roman" w:eastAsia="黑体" w:hAnsi="Times New Roman" w:cs="黑体" w:hint="eastAsia"/>
          <w:szCs w:val="32"/>
        </w:rPr>
        <w:t>第五章　对重新犯罪的预防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公安机关、人民检察院、人民法院办理未成年人刑事案件，应当根据未成年人的生理、心理特点和犯罪的情况，有针对性地进行法治教育。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对涉及刑事案件的未成年人进行教育，其法定代理人以外的成年亲属或者教师、辅导员等参与有利于感化、挽救未成年人的，公安机关、人民检察院、人民法院应当邀请其参加有关活动。</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社会调查和心理测评的报告可以作为办理案件和教育未成年人的参考。</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公安机关、人民检察院、人民法院对于无固定住所、无法提供保证人的未成年人适用取保候审的，应当指定合适成年人作为保证人，必要时可以安排取保候审的未成年人接受社会观护。</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对被拘留、逮捕以及在未成年犯管教所执行刑罚的未成年人，应当与成年人分别关押、管理和教育。对未成年人的社区矫正，应当与成年人分别进行。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对有上述情形且没有完成义务教育的未成年人，公安机关、人民检察院、人民法院、司法行政部门应当与教育行政部门相互配合，保证其继续接受义务教育。</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未成年犯管教所、社区矫正机构应当对未成年犯、未成年社区矫正对象加强法治教育，并根据实际情况对其进行职业教育。</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社区矫正机构应当告知未成年社区矫正对象安置帮教的有关规定，并配合安置帮教工作部门落实或者解决未成年社区矫正对象的就学、就业等问题。</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刑满释放的未成年人，未成年犯管教所应当提前通知其父母或者其他监护人按时接回，并协助落实安置帮教措施。没有父母或者其他监护人、无法查明其父母或者其他监护人的，未成年犯管教所应当提前通知未成年人原户籍所在地或者居住地的司法行政部门安排人员按时接回，由民政部门或者居民委员会、村民委员会依法对其进行监护。</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未成年人的父母或者其他监护人和学校、居民委员会、村民委员会对接受社区矫正、刑满释放的未成年人，应当采取有效的帮教措施，协助司法机关以及有关部门做好安置帮教工作。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居民委员会、村民委员会可以聘请思想品德优秀，作风正派，热心未成年人工作的离退休人员、志愿者或其他人员协助做好前款规定的安置帮教工作。</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刑满释放和接受社区矫正的未成年人，在复学、升学、就业等方面依法享有与其他未成年人同等的权利，任何单位和个人不得歧视。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未成年人接受专门矫治教育、专门教育的记录，以及被行政处罚、采取刑事强制措施和不起诉的记录，适用前款规定。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人民检察院通过依法行使检察权，对未成年人重新犯罪预防工作等进行监督。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法律责任"/>
      <w:bookmarkEnd w:id="6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公安机关、人民检察院、人民法院在办理案件过程中发现实施严重不良行为的未成年人的父母或者其他监护人不依法履行监护职责的，应当予以训诫，并可以责令其接受家庭教育指导。</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违反本法规定，不履行预防未成年人犯罪工作职责，或者虐待、歧视相关未成年人的，由教育行政等部门责令改正，通报批评；情节严重的，对直接负责的主管人员和其他直接责任人员依法给予处分。构成违反治安管理行为的，由公安机关依法予以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教职员工教唆、胁迫、引诱未成年人实施不良行为或者严重不良行为，以及品行不良、影响恶劣的，教育行政部门、学校应当依法予以解聘或者辞退。</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违反本法规定，在复学、升学、就业等方面歧视相关未成年人的，由所在单位或者教育、人力资源社会保障等部门责令改正；拒不改正的，对直接负责的主管人员或者其他直接责任人员依法给予处分。</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关社会组织、机构及其工作人员虐待、歧视接受社会观护的未成年人，或者出具虚假社会调查、心理测评报告的，由民政、司法行政等部门对直接负责的主管人员或者其他直接责任人员依法给予处分，构成违反治安管理行为的，由公安机关予以治安管理处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教唆、胁迫、引诱未成年人实施不良行为或者严重不良行为，构成违反治安管理行为的，由公安机关依法予以治安管理处罚。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国家机关及其工作人员在预防未成年人犯罪工作中滥用职权、玩忽职守、徇私舞弊的，对直接负责的主管人员和其他直接责任人员，依法给予处分。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附则"/>
      <w:bookmarkEnd w:id="7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