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全国人民代表大会关于《中华人民共和国</w:t>
      </w:r>
    </w:p>
    <w:p>
      <w:pPr>
        <w:jc w:val="center"/>
        <w:rPr>
          <w:rFonts w:ascii="宋体" w:hAnsi="宋体" w:eastAsia="宋体" w:cs="Arial"/>
          <w:bCs/>
          <w:sz w:val="44"/>
          <w:szCs w:val="44"/>
        </w:rPr>
      </w:pPr>
      <w:r>
        <w:rPr>
          <w:rFonts w:ascii="宋体" w:hAnsi="宋体" w:eastAsia="宋体" w:cs="Arial"/>
          <w:bCs/>
          <w:sz w:val="44"/>
          <w:szCs w:val="44"/>
        </w:rPr>
        <w:t>澳门特别行政区基本法》的决定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日第八届全国人民代表大会第一次会议通过）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八届全国人民代表大会第一次会议通过《中华人民共和国澳门特别行政区基本法》，包括附件一：《澳门特别行政区行政长官的产生办法》，附件二：《澳门特别行政区立法会的产生办法》，附件三：《在澳门特别行政区实施的全国性法律》，以及澳门特别行政区区旗和区徽图案。《中华人民共和国宪法》第三十一条规定：“国家在必要时得设立特别行政区。在特别行政区内实行的制度按照具体情况由全国人民代表大会以法律规定。”澳门特别行政区基本法是根据《中华人民共和国宪法》按照澳门的具体情况制定的，是符合宪法的。澳门特别行政区设立后实行的制度、政策和法律，以澳门特别行政区基本</w:t>
      </w:r>
      <w:bookmarkStart w:id="3" w:name="_GoBack"/>
      <w:bookmarkEnd w:id="3"/>
      <w:r>
        <w:rPr>
          <w:rFonts w:ascii="仿宋_GB2312" w:hAnsi="仿宋_GB2312" w:eastAsia="仿宋_GB2312" w:cs="仿宋_GB2312"/>
          <w:sz w:val="32"/>
        </w:rPr>
        <w:t>法为依据。</w:t>
      </w:r>
    </w:p>
    <w:p>
      <w:pPr>
        <w:spacing w:line="240" w:lineRule="auto"/>
        <w:ind w:firstLine="640"/>
        <w:jc w:val="both"/>
      </w:pPr>
      <w:r>
        <w:rPr>
          <w:rFonts w:ascii="仿宋_GB2312" w:hAnsi="仿宋_GB2312" w:eastAsia="仿宋_GB2312" w:cs="仿宋_GB2312"/>
          <w:sz w:val="32"/>
        </w:rPr>
        <w:t>《中华人民共和国澳门特别行政区基本法》自</w:t>
      </w:r>
      <w:r>
        <w:rPr>
          <w:rFonts w:hint="default" w:ascii="Times New Roman" w:hAnsi="Times New Roman" w:cs="Times New Roman"/>
          <w:sz w:val="32"/>
          <w:lang w:val="en-US" w:eastAsia="zh-CN"/>
        </w:rPr>
        <w:t>1999</w:t>
      </w:r>
      <w:r>
        <w:rPr>
          <w:rFonts w:ascii="仿宋_GB2312" w:hAnsi="仿宋_GB2312" w:eastAsia="仿宋_GB2312" w:cs="仿宋_GB2312"/>
          <w:sz w:val="32"/>
        </w:rPr>
        <w:t>年</w:t>
      </w:r>
      <w:r>
        <w:rPr>
          <w:rFonts w:hint="default" w:ascii="Times New Roman" w:hAnsi="Times New Roman" w:cs="Times New Roman"/>
          <w:sz w:val="32"/>
          <w:lang w:val="en-US" w:eastAsia="zh-CN"/>
        </w:rPr>
        <w:t>12</w:t>
      </w:r>
      <w:r>
        <w:rPr>
          <w:rFonts w:ascii="仿宋_GB2312" w:hAnsi="仿宋_GB2312" w:eastAsia="仿宋_GB2312" w:cs="仿宋_GB2312"/>
          <w:sz w:val="32"/>
        </w:rPr>
        <w:t>月</w:t>
      </w:r>
      <w:r>
        <w:rPr>
          <w:rFonts w:hint="default" w:ascii="Times New Roman" w:hAnsi="Times New Roman" w:cs="Times New Roman"/>
          <w:sz w:val="32"/>
          <w:lang w:val="en-US" w:eastAsia="zh-CN"/>
        </w:rPr>
        <w:t>20</w:t>
      </w:r>
      <w:r>
        <w:rPr>
          <w:rFonts w:ascii="仿宋_GB2312" w:hAnsi="仿宋_GB2312" w:eastAsia="仿宋_GB2312" w:cs="仿宋_GB2312"/>
          <w:sz w:val="32"/>
        </w:rPr>
        <w:t>日起实施。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17255AE"/>
    <w:rsid w:val="427062B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2021-02-02T09:13:19Z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