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全国人民代表大会关于设立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中华人民共和国澳门特别行政区的决定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eastAsia" w:eastAsia="楷体_GB2312" w:cs="Times New Roman"/>
          <w:szCs w:val="32"/>
          <w:lang w:val="en-US" w:eastAsia="zh-CN"/>
        </w:rPr>
        <w:t>3</w:t>
      </w:r>
      <w:bookmarkStart w:id="3" w:name="_GoBack"/>
      <w:bookmarkEnd w:id="3"/>
      <w:r>
        <w:rPr>
          <w:rFonts w:hint="eastAsia" w:eastAsia="楷体_GB2312" w:cs="Times New Roman"/>
          <w:szCs w:val="32"/>
          <w:lang w:val="en-US" w:eastAsia="zh-CN"/>
        </w:rPr>
        <w:t>1</w:t>
      </w:r>
      <w:r>
        <w:rPr>
          <w:rFonts w:hint="eastAsia" w:ascii="楷体_GB2312" w:hAnsi="Arial" w:eastAsia="楷体_GB2312" w:cs="Arial"/>
          <w:szCs w:val="32"/>
        </w:rPr>
        <w:t>日第八届全国人民代表大会第一次会议通过）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第八届全国人民代表大会第一次会议根据《中华人民共和国宪法》第三十一条和第六十二条第十三项的规定，决定：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自</w:t>
      </w:r>
      <w:r>
        <w:rPr>
          <w:rFonts w:hint="default" w:ascii="Times New Roman" w:hAnsi="Times New Roman" w:eastAsia="仿宋_GB2312" w:cs="Times New Roman"/>
          <w:sz w:val="32"/>
        </w:rPr>
        <w:t>1999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12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20</w:t>
      </w:r>
      <w:r>
        <w:rPr>
          <w:rFonts w:ascii="仿宋_GB2312" w:hAnsi="仿宋_GB2312" w:eastAsia="仿宋_GB2312" w:cs="仿宋_GB2312"/>
          <w:sz w:val="32"/>
        </w:rPr>
        <w:t>日起设立澳门特别行政区。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澳门特别行政区的区域包括澳门半岛、氹仔岛和路环岛。澳门特别行政区的行政区域图由国务院另行公布。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69BF4370"/>
    <w:rsid w:val="7D8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2021-02-03T01:35:02Z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