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全国人民代表大会常务委员会关于《中华人民共和国刑事诉讼法》第二百五十四条第五款、第二百五十七条第二款的解释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（2014年4月24日第十二届全国人民代表大会常务委员会第八次会议通过）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仿宋_GB2312" w:cs="Arial"/>
          <w:kern w:val="0"/>
          <w:szCs w:val="32"/>
          <w:lang w:eastAsia="zh-CN"/>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全国人民代表大会常务委员会根据司法实践中遇到的情况，讨论了刑事诉讼法第二百五十四条第五款、第二百五十七条第二款的含义及人民法院决定暂予监外执行的案件，由哪个机关负责组织病情诊断、妊娠检查和生活不能自理的鉴别和由哪个机关对予以收监执行的罪犯送交执行刑罚的问题，解释如下</w:t>
      </w:r>
      <w:r>
        <w:rPr>
          <w:rFonts w:hint="eastAsia" w:ascii="宋体" w:hAnsi="宋体" w:cs="Arial"/>
          <w:kern w:val="0"/>
          <w:szCs w:val="32"/>
          <w:lang w:eastAsia="zh-CN"/>
        </w:rPr>
        <w:t>：</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罪犯在被交付执行前，因有严重疾病、怀孕或者正在哺乳自己婴儿的妇女、生活不能自理的原因，依法提出暂予监外执行的申请的，有关病情诊断、妊娠检查和生活不能自理的鉴别，由人民法院负责组织进行。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根据刑事诉讼法第二百五十七条第二款的规定，对人民法院决定暂予监外执行的罪犯，有刑事诉讼法第二百五十七条第一款规定的情形，依法应当予以收监的，在人民法院作出决定后，由公安机关依照刑事诉讼法第二百五十三条第二款的规定送交执行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仿宋_GB2312" w:cs="Arial"/>
          <w:kern w:val="0"/>
          <w:szCs w:val="32"/>
          <w:lang w:eastAsia="zh-CN"/>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现予公告。</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8EF7A74"/>
    <w:rsid w:val="09CF1306"/>
    <w:rsid w:val="0B957AC8"/>
    <w:rsid w:val="0C4E6F56"/>
    <w:rsid w:val="0D2F2A95"/>
    <w:rsid w:val="19F86B68"/>
    <w:rsid w:val="2F7753E6"/>
    <w:rsid w:val="3258761C"/>
    <w:rsid w:val="44BC0EEC"/>
    <w:rsid w:val="482A39F4"/>
    <w:rsid w:val="54BA4F88"/>
    <w:rsid w:val="56755F92"/>
    <w:rsid w:val="5CED70B9"/>
    <w:rsid w:val="653A70E2"/>
    <w:rsid w:val="66C55849"/>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59</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2018-11-28T11:53:47Z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