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jc w:val="center"/>
        <w:rPr>
          <w:rFonts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全国人民代表大会常务委员会</w:t>
      </w:r>
    </w:p>
    <w:p>
      <w:pPr>
        <w:spacing w:line="560" w:lineRule="exact"/>
        <w:jc w:val="center"/>
        <w:rPr>
          <w:rFonts w:hint="eastAsia"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关于《中华人民共和国刑法》</w:t>
      </w:r>
    </w:p>
    <w:p>
      <w:pPr>
        <w:spacing w:line="560" w:lineRule="exact"/>
        <w:jc w:val="center"/>
        <w:rPr>
          <w:rFonts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第三百</w:t>
      </w:r>
      <w:bookmarkStart w:name="_GoBack" w:id="0"/>
      <w:bookmarkEnd w:id="0"/>
      <w:r>
        <w:rPr>
          <w:rFonts w:hint="eastAsia" w:ascii="Times New Roman" w:hAnsi="Times New Roman" w:eastAsia="宋体" w:cs="宋体"/>
          <w:kern w:val="0"/>
          <w:sz w:val="44"/>
          <w:szCs w:val="44"/>
        </w:rPr>
        <w:t>一十三条的解释</w:t>
      </w: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ind w:left="640" w:leftChars="200" w:right="640" w:rightChars="200"/>
        <w:rPr>
          <w:rFonts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（2002年8月29日第九届全国人民代表大会常务委员会第二十九次会议通过）</w:t>
      </w: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全国人民代表大会常务委员会讨论了刑法第三百一十三条规定的“对人民法院的判决、裁定有能力执行而拒不执行，情节严重”的含义问题，解释如下：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刑法第三百一十三条规定的“人民法院的判决、裁定”，是指人民法院依法作出的具有执行内容并已发生法律效力的判决、裁定。人民法院为依法执行支付令、生效的调解书、仲裁裁决、公证债权文书等所作的裁定属于该条规定的裁定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下列情形属于刑法第三百一十三条规定的“有能力执行而拒不执行，情节严重”的情形：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（一）被执行人隐藏、转移、故意毁损财产或者无偿转让财产、以明显不合理的低价转让财产，致使判决、裁定无法执行的；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（二）担保人或者被执行人隐藏、转移、故意毁损或者转让已向人民法院提供担保的财产，致使判决、裁定无法执行的；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（三）协助执行义务人接到人民法院协助执行通知书后，拒不协助执行，致使判决、裁定无法执行的；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（四）被执行人、担保人、协助执行义务人与国家机关工作人员通谋，利用国家机关工作人员的职权妨害执行，致使判决、裁定无法执行的；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（五）其他有能力执行而拒不执行，情节严重的情形。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国家机关工作人员有上述第四项行为的，以拒不执行判决、裁定罪的共犯追究刑事责任。国家机关工作人员收受贿赂或者滥用职权，有上述第四项行为的，同时又构成刑法第三百八十五条、第三百九十七条规定之罪的，依照处罚较重的规定定罪处罚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start="1"/>
      <w:cols w:space="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HmETB8SAgAAC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kA2y8JGby2PpSN83q4OARAmZCMsFyx6tEC3BHj/&#10;NCKff/1PUY8PeP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Q6cpdYAAAAIAQAADwAAAAAAAAAB&#10;ACAAAAAiAAAAZHJzL2Rvd25yZXYueG1sUEsBAhQAFAAAAAgAh07iQHmETB8SAgAACAQAAA4AAAAA&#10;AAAAAQAgAAAAJ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A6734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2651A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2974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4FF18B9"/>
    <w:rsid w:val="08210A6D"/>
    <w:rsid w:val="09CF1306"/>
    <w:rsid w:val="0B957AC8"/>
    <w:rsid w:val="0C4E6F56"/>
    <w:rsid w:val="0D2F2A95"/>
    <w:rsid w:val="185F7CCA"/>
    <w:rsid w:val="19F86B68"/>
    <w:rsid w:val="1BF04FBD"/>
    <w:rsid w:val="2F7753E6"/>
    <w:rsid w:val="3258761C"/>
    <w:rsid w:val="44BC0EEC"/>
    <w:rsid w:val="482A39F4"/>
    <w:rsid w:val="56755F92"/>
    <w:rsid w:val="653A70E2"/>
    <w:rsid w:val="6C1E17DE"/>
    <w:rsid w:val="7240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100</Words>
  <Characters>575</Characters>
  <Lines>4</Lines>
  <Paragraphs>1</Paragraphs>
  <TotalTime>60</TotalTime>
  <ScaleCrop>false</ScaleCrop>
  <LinksUpToDate>false</LinksUpToDate>
  <CharactersWithSpaces>674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2018-11-28T07:07:49Z</dcterms:modified>
  <dc:title>法规修改决定电子报备格式标准及示例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