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全国人民代表大会常务委员会关于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《中华人民共和国刑法》第二百二十八条、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第三百四十二条、第四百一十条的解释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楷体_GB2312"/>
          <w:kern w:val="0"/>
          <w:szCs w:val="32"/>
        </w:rPr>
      </w:pPr>
      <w:r>
        <w:rPr>
          <w:rFonts w:hint="eastAsia" w:ascii="Times New Roman" w:hAnsi="Times New Roman" w:eastAsia="楷体_GB2312" w:cs="楷体_GB2312"/>
          <w:kern w:val="0"/>
          <w:szCs w:val="32"/>
        </w:rPr>
        <w:t>（2001年8月31日第九届全国人民代表大会常务委员会第二十三次会议通过　根据2009年8月27日第十一届全国人民代表大会常务委员会第十次会议《关于修改部分法律的决定》修正）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宋体" w:cs="宋体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eastAsia="仿宋_GB2312" w:cs="Arial"/>
          <w:kern w:val="0"/>
          <w:szCs w:val="32"/>
          <w:lang w:eastAsia="zh-CN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全国人民代表大会常务委员会讨论了刑法第二百二十八条、第三百四十二条、第四百一十条规定的“违反土地管理法规”和第四百一十条规定的“非法批准征收、征用、占用土地”的含义问题，解释如下</w:t>
      </w:r>
      <w:r>
        <w:rPr>
          <w:rFonts w:hint="eastAsia" w:ascii="宋体" w:hAnsi="宋体" w:cs="Arial"/>
          <w:kern w:val="0"/>
          <w:szCs w:val="32"/>
          <w:lang w:eastAsia="zh-CN"/>
        </w:rPr>
        <w:t>：</w:t>
      </w:r>
      <w:bookmarkStart w:name="_GoBack" w:id="0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刑法第二百二十八条、第三百四十二条、第四百一十条规定的“违反土地管理法规”，是指违反土地管理法、森林法、草原法等法律以及有关行政法规中关于土地管理的规定。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刑法第四百一十条规定的“非法批准征收、征用、占用土地”，是指非法批准征收、征用、占用耕地、林地等农用地以及其他土地。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宋体" w:hAnsi="宋体" w:cs="Arial"/>
          <w:kern w:val="0"/>
          <w:szCs w:val="32"/>
        </w:rPr>
      </w:pPr>
      <w:r>
        <w:rPr>
          <w:rFonts w:hint="eastAsia" w:ascii="宋体" w:hAnsi="宋体" w:cs="Arial"/>
          <w:kern w:val="0"/>
          <w:szCs w:val="32"/>
        </w:rPr>
        <w:t>　</w:t>
      </w:r>
      <w:r>
        <w:rPr>
          <w:rFonts w:hint="eastAsia" w:ascii="宋体" w:hAnsi="宋体" w:cs="Arial"/>
          <w:kern w:val="0"/>
          <w:szCs w:val="32"/>
          <w:lang w:eastAsia="zh-CN"/>
        </w:rPr>
        <w:t>　</w:t>
      </w:r>
      <w:r>
        <w:rPr>
          <w:rFonts w:hint="eastAsia" w:ascii="宋体" w:hAnsi="宋体" w:cs="Arial"/>
          <w:kern w:val="0"/>
          <w:szCs w:val="32"/>
        </w:rPr>
        <w:t>现予公告。</w:t>
      </w:r>
    </w:p>
    <w:sectPr>
      <w:headerReference w:type="default" r:id="rId3"/>
      <w:footerReference w:type="default" r:id="rId5"/>
      <w:headerReference w:type="even" r:id="rId4"/>
      <w:footerReference w:type="even" r:id="rId6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9CF1306"/>
    <w:rsid w:val="0B957AC8"/>
    <w:rsid w:val="0C4E6F56"/>
    <w:rsid w:val="0D2F2A95"/>
    <w:rsid w:val="19F86B68"/>
    <w:rsid w:val="2F7753E6"/>
    <w:rsid w:val="3258761C"/>
    <w:rsid w:val="3E4F18AF"/>
    <w:rsid w:val="44BC0EEC"/>
    <w:rsid w:val="482A39F4"/>
    <w:rsid w:val="4A98284F"/>
    <w:rsid w:val="4D911862"/>
    <w:rsid w:val="56755F92"/>
    <w:rsid w:val="653A70E2"/>
    <w:rsid w:val="68EE4149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59</TotalTime>
  <ScaleCrop>false</ScaleCrop>
  <LinksUpToDate>false</LinksUpToDate>
  <CharactersWithSpaces>14441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lenovo</cp:lastModifiedBy>
  <cp:lastPrinted>2016-11-15T16:26:00Z</cp:lastPrinted>
  <dcterms:modified xsi:type="dcterms:W3CDTF">2018-11-28T12:03:06Z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