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全国人民代表大会常务委员会关于《中华人民共和国香港特别行政区基本法》英文本的决定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jc w:val="center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1990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6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28</w:t>
      </w:r>
      <w:r>
        <w:rPr>
          <w:rFonts w:hint="eastAsia" w:ascii="楷体_GB2312" w:hAnsi="Arial" w:eastAsia="楷体_GB2312" w:cs="Arial"/>
          <w:szCs w:val="32"/>
        </w:rPr>
        <w:t>日通过）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第七届全国人民代表大</w:t>
      </w:r>
      <w:r>
        <w:rPr>
          <w:rFonts w:hint="eastAsia" w:ascii="仿宋_GB2312" w:hAnsi="仿宋_GB2312" w:cs="仿宋_GB2312"/>
          <w:sz w:val="32"/>
          <w:lang w:eastAsia="zh-CN"/>
        </w:rPr>
        <w:t>会</w:t>
      </w:r>
      <w:r>
        <w:rPr>
          <w:rFonts w:ascii="仿宋_GB2312" w:hAnsi="仿宋_GB2312" w:eastAsia="仿宋_GB2312" w:cs="仿宋_GB2312"/>
          <w:sz w:val="32"/>
        </w:rPr>
        <w:t>常务委员会第十四次会议决定：全国人民代表大会法律委员会主持审定的《中华人民共和国香港特别行政区基本法》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英译本为正式英文本，和中文本同样使用；英文本中的用语的含义如果有与中文本有出入的，以中文本为准。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EA3415F"/>
    <w:rsid w:val="20883750"/>
    <w:rsid w:val="42F6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2021-02-02T06:37:31Z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