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《中华人民共和国香港特别行政区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基本法》附件三所列全国性法律增减的决定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仿宋_GB2312" w:hAnsi="仿宋_GB2312" w:eastAsia="仿宋_GB2312" w:cs="仿宋_GB2312"/>
          <w:sz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1997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7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</w:t>
      </w:r>
      <w:r>
        <w:rPr>
          <w:rFonts w:hint="eastAsia" w:ascii="楷体_GB2312" w:hAnsi="Arial" w:eastAsia="楷体_GB2312" w:cs="Arial"/>
          <w:szCs w:val="32"/>
        </w:rPr>
        <w:t>日第八届全国人民代表大会常务委员会第二十六次会议通过）</w:t>
      </w:r>
      <w:bookmarkEnd w:id="2"/>
    </w:p>
    <w:p>
      <w:pPr>
        <w:spacing w:line="240" w:lineRule="auto"/>
        <w:ind w:firstLine="0"/>
        <w:jc w:val="both"/>
        <w:rPr>
          <w:rFonts w:ascii="仿宋_GB2312" w:hAnsi="仿宋_GB2312" w:eastAsia="仿宋_GB2312" w:cs="仿宋_GB2312"/>
          <w:sz w:val="32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一、</w:t>
      </w:r>
      <w:r>
        <w:rPr>
          <w:rFonts w:ascii="仿宋_GB2312" w:hAnsi="仿宋_GB2312" w:eastAsia="仿宋_GB2312" w:cs="仿宋_GB2312"/>
          <w:sz w:val="32"/>
        </w:rPr>
        <w:t>在《中华人民共和国香港特别行政区基本法》附件三中增加下列全国性法律：</w:t>
      </w:r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、《中华人民共和国国旗法》；</w:t>
      </w:r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2</w:t>
      </w:r>
      <w:r>
        <w:rPr>
          <w:rFonts w:ascii="仿宋_GB2312" w:hAnsi="仿宋_GB2312" w:eastAsia="仿宋_GB2312" w:cs="仿宋_GB2312"/>
          <w:sz w:val="32"/>
        </w:rPr>
        <w:t>、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《中华人民共和国领事特权与豁免条例》；</w:t>
      </w:r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、《中华人民共和国国徽法》；</w:t>
      </w:r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4</w:t>
      </w:r>
      <w:r>
        <w:rPr>
          <w:rFonts w:ascii="仿宋_GB2312" w:hAnsi="仿宋_GB2312" w:eastAsia="仿宋_GB2312" w:cs="仿宋_GB2312"/>
          <w:sz w:val="32"/>
        </w:rPr>
        <w:t>、《中华人民共和国领海及毗连区法》；</w:t>
      </w:r>
    </w:p>
    <w:p>
      <w:pPr>
        <w:spacing w:line="240" w:lineRule="auto"/>
        <w:ind w:firstLine="640"/>
        <w:jc w:val="both"/>
      </w:pPr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仿宋_GB2312" w:hAnsi="仿宋_GB2312" w:eastAsia="仿宋_GB2312" w:cs="仿宋_GB2312"/>
          <w:sz w:val="32"/>
        </w:rPr>
        <w:t>、《中华人民共和国香港特别行政区驻军法》。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以上全国性法律，自</w:t>
      </w:r>
      <w:r>
        <w:rPr>
          <w:rFonts w:hint="default" w:ascii="Times New Roman" w:hAnsi="Times New Roman" w:eastAsia="仿宋_GB2312" w:cs="Times New Roman"/>
          <w:sz w:val="32"/>
        </w:rPr>
        <w:t>1997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7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日起由香港特别行政区公布或立法实施。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二、</w:t>
      </w:r>
      <w:r>
        <w:rPr>
          <w:rFonts w:ascii="仿宋_GB2312" w:hAnsi="仿宋_GB2312" w:eastAsia="仿宋_GB2312" w:cs="仿宋_GB2312"/>
          <w:sz w:val="32"/>
        </w:rPr>
        <w:t>在《中华人民共和国香港特别行政区基本法》附件三中删去下列全国性法律：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《中央人民政府公布中华人民共和国国徽的命令》附：国徽图案、说明、使用办法。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3A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2021-02-08T09:54:31Z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