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《中华人民共和国香港特别行政区维护国家</w:t>
      </w:r>
    </w:p>
    <w:p>
      <w:pPr>
        <w:jc w:val="center"/>
        <w:rPr>
          <w:rFonts w:ascii="宋体" w:hAnsi="宋体" w:eastAsia="宋体" w:cs="Arial"/>
          <w:bCs/>
          <w:sz w:val="44"/>
          <w:szCs w:val="44"/>
        </w:rPr>
      </w:pPr>
      <w:r>
        <w:rPr>
          <w:rFonts w:ascii="宋体" w:hAnsi="宋体" w:eastAsia="宋体" w:cs="Arial"/>
          <w:bCs/>
          <w:sz w:val="44"/>
          <w:szCs w:val="44"/>
        </w:rPr>
        <w:t>安全法》第十四条和第四十七条</w:t>
      </w:r>
      <w:r>
        <w:rPr>
          <w:rFonts w:hint="eastAsia" w:ascii="宋体" w:hAnsi="宋体" w:eastAsia="宋体" w:cs="Arial"/>
          <w:bCs/>
          <w:sz w:val="44"/>
          <w:szCs w:val="44"/>
          <w:lang w:val="en-US" w:eastAsia="zh-CN"/>
        </w:rPr>
        <w:t>的</w:t>
      </w:r>
      <w:r>
        <w:rPr>
          <w:rFonts w:ascii="宋体" w:hAnsi="宋体" w:eastAsia="宋体" w:cs="Arial"/>
          <w:bCs/>
          <w:sz w:val="44"/>
          <w:szCs w:val="44"/>
        </w:rPr>
        <w:t>解释</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日第十三届全国人民代表大会常务委员会第三十八次会议通过）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三届全国人民代表大会常务委员会第三十八次会议审议了《国务院关于提请解释〈中华人民共和国香港特别行政区维护国家安全法〉有关条款的议案》。国务院的议案是应香港特别行政区行政长官向中央人民政府提交的有关报告提出的。根据《中华人民共和国宪法》第六十七条第四项和《中华人民共和国香港特别行政区维护</w:t>
      </w:r>
      <w:bookmarkStart w:id="3" w:name="_GoBack"/>
      <w:bookmarkEnd w:id="3"/>
      <w:r>
        <w:rPr>
          <w:rFonts w:ascii="仿宋_GB2312" w:hAnsi="仿宋_GB2312" w:eastAsia="仿宋_GB2312" w:cs="仿宋_GB2312"/>
          <w:sz w:val="32"/>
        </w:rPr>
        <w:t>国家安全法》第六十五条的规定，全国人民代表大会常务委员会对《中华人民共和国香港特别行政区维护国家安全法》第十四条和第四十七条规定的含义和适用作如下解释：</w:t>
      </w:r>
    </w:p>
    <w:p>
      <w:pPr>
        <w:spacing w:line="240" w:lineRule="auto"/>
        <w:ind w:firstLine="640"/>
        <w:jc w:val="both"/>
      </w:pPr>
      <w:r>
        <w:rPr>
          <w:rFonts w:ascii="黑体" w:hAnsi="黑体" w:eastAsia="黑体" w:cs="黑体"/>
          <w:sz w:val="32"/>
        </w:rPr>
        <w:t>一</w:t>
      </w:r>
      <w:r>
        <w:rPr>
          <w:rFonts w:hint="eastAsia" w:ascii="黑体" w:hAnsi="黑体" w:eastAsia="黑体" w:cs="黑体"/>
          <w:sz w:val="32"/>
          <w:lang w:eastAsia="zh-CN"/>
        </w:rPr>
        <w:t>、</w:t>
      </w:r>
      <w:r>
        <w:rPr>
          <w:rFonts w:ascii="仿宋_GB2312" w:hAnsi="仿宋_GB2312" w:eastAsia="仿宋_GB2312" w:cs="仿宋_GB2312"/>
          <w:sz w:val="32"/>
        </w:rPr>
        <w:t>根据《中华人民共和国香港特别行政区维护国家安全法》第十四条的规定，香港特别行政区维护国家安全委员会承担香港特别行政区维护国家安全的法定职责，有权对是否涉及国家安全问题作出判断和决定，工作信息不予公开。香港特别行政区维护国家安全委员会作出的决定不受司法复核，具有可执行的法律效力。香港特别行政区任何行政、立法、司法等机构和任何组织、个人均不得干涉香港特别行政区维护国家安全委员会的工作，均应当尊重并执行香港特别行政区维护国家安全委员会的决定。</w:t>
      </w:r>
    </w:p>
    <w:p>
      <w:pPr>
        <w:spacing w:line="240" w:lineRule="auto"/>
        <w:ind w:firstLine="640"/>
        <w:jc w:val="both"/>
      </w:pPr>
      <w:r>
        <w:rPr>
          <w:rFonts w:ascii="黑体" w:hAnsi="黑体" w:eastAsia="黑体" w:cs="黑体"/>
          <w:sz w:val="32"/>
        </w:rPr>
        <w:t>二</w:t>
      </w:r>
      <w:r>
        <w:rPr>
          <w:rFonts w:hint="eastAsia" w:ascii="黑体" w:hAnsi="黑体" w:eastAsia="黑体" w:cs="黑体"/>
          <w:sz w:val="32"/>
          <w:lang w:eastAsia="zh-CN"/>
        </w:rPr>
        <w:t>、</w:t>
      </w:r>
      <w:r>
        <w:rPr>
          <w:rFonts w:ascii="仿宋_GB2312" w:hAnsi="仿宋_GB2312" w:eastAsia="仿宋_GB2312" w:cs="仿宋_GB2312"/>
          <w:sz w:val="32"/>
        </w:rPr>
        <w:t>根据《中华人民共和国香港特别行政区维护国家安全法》第四十七条的规定，香港特别行政区法院在审理危害国家安全犯罪案件中遇有涉及有关行为是否涉及国家安全或者有关证据材料是否涉及国家秘密的认定问题，应当向行政长官提出并取得行政长官就该等问题发出的证明书，上述证明书对法院有约束力。</w:t>
      </w:r>
    </w:p>
    <w:p>
      <w:pPr>
        <w:spacing w:line="240" w:lineRule="auto"/>
        <w:ind w:firstLine="640"/>
        <w:jc w:val="both"/>
      </w:pPr>
      <w:r>
        <w:rPr>
          <w:rFonts w:ascii="黑体" w:hAnsi="黑体" w:eastAsia="黑体" w:cs="黑体"/>
          <w:sz w:val="32"/>
        </w:rPr>
        <w:t>三</w:t>
      </w:r>
      <w:r>
        <w:rPr>
          <w:rFonts w:hint="eastAsia" w:ascii="黑体" w:hAnsi="黑体" w:eastAsia="黑体" w:cs="黑体"/>
          <w:sz w:val="32"/>
          <w:lang w:eastAsia="zh-CN"/>
        </w:rPr>
        <w:t>、</w:t>
      </w:r>
      <w:r>
        <w:rPr>
          <w:rFonts w:ascii="仿宋_GB2312" w:hAnsi="仿宋_GB2312" w:eastAsia="仿宋_GB2312" w:cs="仿宋_GB2312"/>
          <w:sz w:val="32"/>
        </w:rPr>
        <w:t>香港特别行政区行政长官依据《中华人民共和国香港特别行政区维护国家安全法》第十一条的规定于</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向中央人民政府提交的有关报告认为，不具有香港特别行政区全面执业资格的海外律师担任危害国家安全犯罪案件的辩护人或者诉讼代理人可能引发国家安全风险。不具有香港特别行政区全面执业资格的海外律师是否可以担任危害国家安全犯罪案件的辩护人或者诉讼代理人的问题，属于《中华人民共和国香港特别行政区维护国家安全法》第四十七条所规定的需要认定的问题，应当取得行政长官发出的证明书。如香港特别行政区法院没有向行政长官提出并取得行政长官就该等问题发出的证明书，香港特别行政区维护国家安全委员会应当根据《中华人民共和国香港特别行政区维护国家安全法》第十四条的规定履行法定职责，对该等情况和问题作出相关判断和决定。</w:t>
      </w:r>
    </w:p>
    <w:p>
      <w:pPr>
        <w:spacing w:line="240" w:lineRule="auto"/>
        <w:ind w:firstLine="640"/>
        <w:jc w:val="both"/>
      </w:pPr>
      <w:r>
        <w:rPr>
          <w:rFonts w:ascii="仿宋_GB2312" w:hAnsi="仿宋_GB2312" w:eastAsia="仿宋_GB2312" w:cs="仿宋_GB2312"/>
          <w:sz w:val="32"/>
        </w:rPr>
        <w:t>现予公告。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39C6E5E"/>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2022-12-30T14:34:04Z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