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关于军队战时调整适用《中华人民共和国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刑事诉讼法》部分规定的决定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2023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2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24</w:t>
      </w:r>
      <w:r>
        <w:rPr>
          <w:rFonts w:hint="eastAsia" w:ascii="楷体_GB2312" w:hAnsi="Arial" w:eastAsia="楷体_GB2312" w:cs="Arial"/>
          <w:szCs w:val="32"/>
        </w:rPr>
        <w:t>日第十三届全国人民代表大会常务委员会第三十九次会议通过）</w:t>
      </w:r>
      <w:bookmarkEnd w:id="2"/>
    </w:p>
    <w:p>
      <w:pPr>
        <w:spacing w:line="240" w:lineRule="auto"/>
        <w:ind w:firstLine="0"/>
        <w:jc w:val="both"/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贯彻落实党的二十大精神，完善中国特色军事法治体系，从法律制度上保障人民军队有效履行新时代使命任务、提高打赢能力，第十三届全国人民代表大会常务委员会第三十九次会议决定：军队战时开展刑事诉讼活动，遵循《中华人民共和国刑法》、《中华人民共和国刑事诉讼法》确定的基本原则、基本制度、基本程序，适应战时刑事诉讼特点，保障诉讼当事人合法权益，维护司法公平正义，可以调整适用《中华人民共和国刑事诉讼法》关于管辖、辩护与代理、强制措施、立案、侦查、起诉、审判、执行等部分具体规定。具体由中央军事委员会规定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202</w:t>
      </w:r>
      <w:bookmarkStart w:id="3" w:name="_GoBack"/>
      <w:bookmarkEnd w:id="3"/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2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25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D9804AC"/>
    <w:rsid w:val="3DE63740"/>
    <w:rsid w:val="481351D2"/>
    <w:rsid w:val="53543565"/>
    <w:rsid w:val="558A062C"/>
    <w:rsid w:val="5B7A7B97"/>
    <w:rsid w:val="622F1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unhideWhenUsed/>
    <w:uiPriority w:val="99"/>
    <w:rPr>
      <w:color w:val="954F72"/>
      <w:u w:val="single"/>
    </w:rPr>
  </w:style>
  <w:style w:type="character" w:styleId="6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character" w:customStyle="1" w:styleId="9">
    <w:name w:val="页眉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Administrator</cp:lastModifiedBy>
  <dcterms:modified xsi:type="dcterms:W3CDTF">2023-02-24T11:51:08Z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2052-10.1.0.7520</vt:lpwstr>
  </property>
</Properties>
</file>