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全国人民代表大会常务委员会关于取缔</w:t>
      </w:r>
    </w:p>
    <w:p>
      <w:pPr>
        <w:jc w:val="center"/>
        <w:rPr>
          <w:rFonts w:ascii="宋体" w:hAnsi="宋体" w:eastAsia="宋体" w:cs="Arial"/>
          <w:bCs/>
          <w:sz w:val="44"/>
          <w:szCs w:val="44"/>
        </w:rPr>
      </w:pPr>
      <w:r>
        <w:rPr>
          <w:rFonts w:ascii="宋体" w:hAnsi="宋体" w:eastAsia="宋体" w:cs="Arial"/>
          <w:bCs/>
          <w:sz w:val="44"/>
          <w:szCs w:val="44"/>
        </w:rPr>
        <w:t>邪教组织、防范和惩治邪教活动的决定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1999</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日第九</w:t>
      </w:r>
      <w:bookmarkStart w:id="3" w:name="_GoBack"/>
      <w:bookmarkEnd w:id="3"/>
      <w:r>
        <w:rPr>
          <w:rFonts w:hint="eastAsia" w:ascii="楷体_GB2312" w:hAnsi="Arial" w:eastAsia="楷体_GB2312" w:cs="Arial"/>
          <w:szCs w:val="32"/>
        </w:rPr>
        <w:t>届全国人民代表大会常务委员会第十二次会议通过）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为了维护社会稳定，保护人民利益，保障改革开放和社会主义现代化建设的顺利进行，必须取缔邪教组织、防范和惩治邪教活动。根据宪法和有关法律，特作如下决定：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坚决依法取缔邪教组织，严厉惩治邪教组织的各种犯罪活动。邪教组织冒用宗教、气功或者其他名义，采用各种手段扰乱社会秩序，危害人民群众生命财产安全和经济发展，必须依法取缔，坚决惩治。人民法院、人民检察院和公安、国家安全、司法行政机关要各司其职，共同做好这项工作。对组织和利用邪教组织破坏国家法律、行政法规实施，聚众闹事，扰乱社会秩序，以迷信邪说蒙骗他人，致人死亡，或者奸淫妇女、诈骗财物等犯罪活动，依法予以严惩。</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坚持教育与惩罚相结合，团结、教育绝大多数被蒙骗的群众，依法严惩极少数犯罪分子。在依法处理邪教组织的工作中，要把不明真相参与邪教活动的人同组织和利用邪教组织进行非法活动、蓄意破坏社会稳定的犯罪分子区别开来。对受蒙骗的群众不予追究。对构成犯罪的组织者、策划者、指挥者和骨干分子，坚决依法追究刑事责任；对于自首或者有立功表现的，可以依法从轻、减轻或者免除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在全体公民中深入持久地开展宪法和法律的宣传教育，普及科学文化知识。依法取缔邪教组织，惩治邪教活动，有利于保护正常的宗教活动和公民的宗教信仰自由。要使广大人民群众充分认识邪教组织严重危害人类、危害社会的实质，自觉反对和抵制邪教组织的影响，进一步增强法制观念，遵守国家法律。</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防范和惩治邪教活动，要动员和组织全社会的力量，进行综合治理。各级人民政府和司法机关应当认真落实责任制，把严防邪教组织的滋生和蔓延，防范和惩治邪教活动作为一项重要任务长期坚持下去，维护社会稳定。</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37B6C8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2021-01-29T01:35:23Z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