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全国人民代表大会常务委员会关于延长授权</w:t>
      </w:r>
    </w:p>
    <w:p>
      <w:pPr>
        <w:jc w:val="center"/>
        <w:rPr>
          <w:rFonts w:ascii="宋体" w:hAnsi="宋体" w:eastAsia="宋体" w:cs="Arial"/>
          <w:bCs/>
          <w:sz w:val="44"/>
          <w:szCs w:val="44"/>
        </w:rPr>
      </w:pPr>
      <w:r>
        <w:rPr>
          <w:rFonts w:ascii="宋体" w:hAnsi="宋体" w:eastAsia="宋体" w:cs="Arial"/>
          <w:bCs/>
          <w:sz w:val="44"/>
          <w:szCs w:val="44"/>
        </w:rPr>
        <w:t>国务院在实施股票发行注册制改革中调整适用</w:t>
      </w:r>
    </w:p>
    <w:p>
      <w:pPr>
        <w:jc w:val="center"/>
        <w:rPr>
          <w:rFonts w:ascii="宋体" w:hAnsi="宋体" w:eastAsia="宋体" w:cs="Arial"/>
          <w:bCs/>
          <w:sz w:val="44"/>
          <w:szCs w:val="44"/>
        </w:rPr>
      </w:pPr>
      <w:r>
        <w:rPr>
          <w:rFonts w:ascii="宋体" w:hAnsi="宋体" w:eastAsia="宋体" w:cs="Arial"/>
          <w:bCs/>
          <w:sz w:val="44"/>
          <w:szCs w:val="44"/>
        </w:rPr>
        <w:t>《中华人民共和国证券法》有关规定期限的</w:t>
      </w:r>
    </w:p>
    <w:p>
      <w:pPr>
        <w:jc w:val="center"/>
        <w:rPr>
          <w:rFonts w:ascii="宋体" w:hAnsi="宋体" w:eastAsia="宋体" w:cs="Arial"/>
          <w:bCs/>
          <w:sz w:val="44"/>
          <w:szCs w:val="44"/>
        </w:rPr>
      </w:pPr>
      <w:r>
        <w:rPr>
          <w:rFonts w:ascii="宋体" w:hAnsi="宋体" w:eastAsia="宋体" w:cs="Arial"/>
          <w:bCs/>
          <w:sz w:val="44"/>
          <w:szCs w:val="44"/>
        </w:rPr>
        <w:t>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日第十二届全国人民代表大会常务委员会第三十三次会议通过）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为了稳步推进实施股票发行注册制改革，进一步发挥资本市场服务实体经济的基础功能，第十二届全国人民代表大会常务委员会第三十三次会议决定：</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日第十二届全国人民代表大会常务委员会第十八次会议授权国务院在实施股票发行注册制改革中调整适用《中华人民共和国证券法》有关规定的决定施行期限届满后，期限延长二年至</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日。国务院应当及时总结实践经验，于延</w:t>
      </w:r>
      <w:bookmarkStart w:id="3" w:name="_GoBack"/>
      <w:bookmarkEnd w:id="3"/>
      <w:r>
        <w:rPr>
          <w:rFonts w:ascii="仿宋_GB2312" w:hAnsi="仿宋_GB2312" w:eastAsia="仿宋_GB2312" w:cs="仿宋_GB2312"/>
          <w:sz w:val="32"/>
        </w:rPr>
        <w:t>长期满前，提出修改法律相关规定的意见。</w:t>
      </w:r>
    </w:p>
    <w:p>
      <w:pPr>
        <w:spacing w:line="240" w:lineRule="auto"/>
        <w:ind w:firstLine="640"/>
        <w:jc w:val="both"/>
      </w:pPr>
      <w:r>
        <w:rPr>
          <w:rFonts w:ascii="仿宋_GB2312" w:hAnsi="仿宋_GB2312" w:eastAsia="仿宋_GB2312" w:cs="仿宋_GB2312"/>
          <w:sz w:val="32"/>
        </w:rPr>
        <w:t>国务院要进一步加强对股票发行注册制改革工作的组织领导，并将股票发行注册制改革具体实施方案报全国人民代表大会常务委员会备案。国务院证券监督管理机构要继续创造条件，积极推进股票发行注册制改革，并会同有关部门加强事前事中事后全过程监管，防范和化解风险，切实保护投资者合法权益。</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25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023F1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2021-01-14T01:16:00Z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