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全国人民代表大会常务委员会关于批准</w:t>
      </w:r>
    </w:p>
    <w:p>
      <w:pPr>
        <w:jc w:val="center"/>
        <w:rPr>
          <w:rFonts w:hint="eastAsia" w:ascii="宋体" w:hAnsi="宋体" w:eastAsia="宋体" w:cs="Arial"/>
          <w:bCs/>
          <w:sz w:val="44"/>
          <w:szCs w:val="44"/>
        </w:rPr>
      </w:pPr>
      <w:r>
        <w:rPr>
          <w:rFonts w:hint="eastAsia" w:ascii="宋体" w:hAnsi="宋体" w:eastAsia="宋体" w:cs="Arial"/>
          <w:bCs/>
          <w:sz w:val="44"/>
          <w:szCs w:val="44"/>
        </w:rPr>
        <w:t>《中华人民共和国香港特别行政区基本法</w:t>
      </w:r>
    </w:p>
    <w:p>
      <w:pPr>
        <w:jc w:val="center"/>
        <w:rPr>
          <w:rFonts w:hint="eastAsia" w:ascii="宋体" w:hAnsi="宋体" w:eastAsia="宋体" w:cs="Arial"/>
          <w:bCs/>
          <w:sz w:val="44"/>
          <w:szCs w:val="44"/>
        </w:rPr>
      </w:pPr>
      <w:r>
        <w:rPr>
          <w:rFonts w:hint="eastAsia" w:ascii="宋体" w:hAnsi="宋体" w:eastAsia="宋体" w:cs="Arial"/>
          <w:bCs/>
          <w:sz w:val="44"/>
          <w:szCs w:val="44"/>
        </w:rPr>
        <w:t>附件一香港特别行政区行政长官的产生办法</w:t>
      </w:r>
    </w:p>
    <w:p>
      <w:pPr>
        <w:jc w:val="center"/>
        <w:rPr>
          <w:rFonts w:ascii="宋体" w:hAnsi="宋体" w:eastAsia="宋体" w:cs="Arial"/>
          <w:bCs/>
          <w:sz w:val="44"/>
          <w:szCs w:val="44"/>
        </w:rPr>
      </w:pPr>
      <w:r>
        <w:rPr>
          <w:rFonts w:hint="eastAsia" w:ascii="宋体" w:hAnsi="宋体" w:eastAsia="宋体" w:cs="Arial"/>
          <w:bCs/>
          <w:sz w:val="44"/>
          <w:szCs w:val="44"/>
        </w:rPr>
        <w:t>修正案》的决定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日第十一届全国人民代表大会常务委员会第十六次会议通过）</w:t>
      </w:r>
      <w:bookmarkEnd w:id="1"/>
    </w:p>
    <w:p>
      <w:pPr>
        <w:spacing w:line="240" w:lineRule="auto"/>
        <w:ind w:firstLine="0"/>
        <w:jc w:val="both"/>
      </w:pPr>
    </w:p>
    <w:p>
      <w:pPr>
        <w:spacing w:line="240" w:lineRule="auto"/>
        <w:ind w:firstLine="640"/>
        <w:jc w:val="both"/>
      </w:pPr>
      <w:r>
        <w:rPr>
          <w:rFonts w:ascii="仿宋_GB2312" w:hAnsi="仿宋_GB2312" w:eastAsia="仿宋_GB2312" w:cs="仿宋_GB2312"/>
          <w:sz w:val="32"/>
        </w:rPr>
        <w:t>第十一届全国人民代表大会常务委员会第十六次会议决定：</w:t>
      </w:r>
    </w:p>
    <w:p>
      <w:pPr>
        <w:spacing w:line="240" w:lineRule="auto"/>
        <w:ind w:firstLine="640"/>
        <w:jc w:val="both"/>
      </w:pPr>
      <w:r>
        <w:rPr>
          <w:rFonts w:ascii="仿宋_GB2312" w:hAnsi="仿宋_GB2312" w:eastAsia="仿宋_GB2312" w:cs="仿宋_GB2312"/>
          <w:sz w:val="32"/>
        </w:rPr>
        <w:t>根据《中华人民共和国香港特别行政区基本法》附件一、《全国人民代表大会常务委员会关于〈中华人民共和国香港特别行政区基本法〉附件一第七条和附件二第三条的解释》和《全国人民代表大会常务委员会关于香港特别行政区</w:t>
      </w:r>
      <w:r>
        <w:rPr>
          <w:rFonts w:hint="default" w:ascii="Times New Roman" w:hAnsi="Times New Roman" w:eastAsia="仿宋_GB2312" w:cs="Times New Roman"/>
          <w:sz w:val="32"/>
        </w:rPr>
        <w:t>2012</w:t>
      </w:r>
      <w:r>
        <w:rPr>
          <w:rFonts w:ascii="仿宋_GB2312" w:hAnsi="仿宋_GB2312" w:eastAsia="仿宋_GB2312" w:cs="仿宋_GB2312"/>
          <w:sz w:val="32"/>
        </w:rPr>
        <w:t>年行政长官和立法会产生办法及有关普选问题的决定》，批准香港特别行政区提出的《中华人民共和国香港特别行政区基本法附件一香港特别行政区行政长官的产生办法修正案》。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《中华人民共和国香港特别行政区基本法附件一香港特别行政区行政长官的产生办法修正案》自批准之日起生效。</w:t>
      </w:r>
    </w:p>
    <w:p>
      <w:pPr>
        <w:spacing w:line="240" w:lineRule="auto"/>
        <w:ind w:firstLine="640"/>
        <w:jc w:val="both"/>
        <w:rPr>
          <w:rFonts w:ascii="仿宋_GB2312" w:hAnsi="仿宋_GB2312" w:eastAsia="仿宋_GB2312" w:cs="仿宋_GB2312"/>
          <w:sz w:val="32"/>
        </w:rPr>
      </w:pPr>
    </w:p>
    <w:p>
      <w:pPr>
        <w:spacing w:line="240" w:lineRule="auto"/>
        <w:ind w:firstLine="640"/>
        <w:jc w:val="both"/>
        <w:rPr>
          <w:rFonts w:ascii="仿宋_GB2312" w:hAnsi="仿宋_GB2312" w:eastAsia="仿宋_GB2312" w:cs="仿宋_GB2312"/>
          <w:sz w:val="32"/>
        </w:rPr>
      </w:pPr>
    </w:p>
    <w:p>
      <w:pPr>
        <w:jc w:val="center"/>
        <w:rPr>
          <w:rFonts w:hint="eastAsia" w:ascii="宋体" w:hAnsi="宋体" w:eastAsia="宋体" w:cs="Arial"/>
          <w:bCs/>
          <w:sz w:val="44"/>
          <w:szCs w:val="44"/>
        </w:rPr>
      </w:pPr>
      <w:r>
        <w:rPr>
          <w:rFonts w:hint="eastAsia" w:ascii="宋体" w:hAnsi="宋体" w:eastAsia="宋体" w:cs="Arial"/>
          <w:bCs/>
          <w:sz w:val="44"/>
          <w:szCs w:val="44"/>
        </w:rPr>
        <w:t>中华人民共和国香港特别行政区基本法</w:t>
      </w:r>
    </w:p>
    <w:p>
      <w:pPr>
        <w:jc w:val="center"/>
        <w:rPr>
          <w:rFonts w:hint="eastAsia" w:ascii="宋体" w:hAnsi="宋体" w:eastAsia="宋体" w:cs="Arial"/>
          <w:bCs/>
          <w:sz w:val="44"/>
          <w:szCs w:val="44"/>
        </w:rPr>
      </w:pPr>
      <w:r>
        <w:rPr>
          <w:rFonts w:hint="eastAsia" w:ascii="宋体" w:hAnsi="宋体" w:eastAsia="宋体" w:cs="Arial"/>
          <w:bCs/>
          <w:sz w:val="44"/>
          <w:szCs w:val="44"/>
        </w:rPr>
        <w:t>附件一香港特别行政区行政长官的产生</w:t>
      </w:r>
    </w:p>
    <w:p>
      <w:pPr>
        <w:jc w:val="center"/>
        <w:rPr>
          <w:rFonts w:hint="eastAsia" w:asciiTheme="minorEastAsia" w:hAnsiTheme="minorEastAsia" w:eastAsiaTheme="minorEastAsia" w:cstheme="minorEastAsia"/>
          <w:sz w:val="44"/>
          <w:szCs w:val="44"/>
        </w:rPr>
      </w:pPr>
      <w:r>
        <w:rPr>
          <w:rFonts w:hint="eastAsia" w:ascii="宋体" w:hAnsi="宋体" w:eastAsia="宋体" w:cs="Arial"/>
          <w:bCs/>
          <w:sz w:val="44"/>
          <w:szCs w:val="44"/>
        </w:rPr>
        <w:t>办法修正案</w:t>
      </w:r>
    </w:p>
    <w:p>
      <w:pPr>
        <w:spacing w:line="240" w:lineRule="auto"/>
        <w:ind w:firstLine="640"/>
        <w:jc w:val="center"/>
        <w:rPr>
          <w:rFonts w:hint="eastAsia" w:asciiTheme="minorEastAsia" w:hAnsiTheme="minorEastAsia" w:eastAsiaTheme="minorEastAsia" w:cstheme="minorEastAsia"/>
          <w:sz w:val="44"/>
          <w:szCs w:val="44"/>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w:t>
      </w:r>
      <w:r>
        <w:rPr>
          <w:rFonts w:hint="default" w:ascii="Times New Roman" w:hAnsi="Times New Roman" w:eastAsia="仿宋_GB2312" w:cs="Times New Roman"/>
          <w:sz w:val="32"/>
        </w:rPr>
        <w:t>2010</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28</w:t>
      </w:r>
      <w:r>
        <w:rPr>
          <w:rFonts w:ascii="仿宋_GB2312" w:hAnsi="仿宋_GB2312" w:eastAsia="仿宋_GB2312" w:cs="仿宋_GB2312"/>
          <w:sz w:val="32"/>
        </w:rPr>
        <w:t>日第十一届全国人民代表大会常务委员会第十六次会议批准）</w:t>
      </w:r>
    </w:p>
    <w:p>
      <w:pPr>
        <w:spacing w:line="240" w:lineRule="auto"/>
        <w:ind w:firstLine="640"/>
        <w:jc w:val="both"/>
        <w:rPr>
          <w:rFonts w:ascii="仿宋_GB2312" w:hAnsi="仿宋_GB2312" w:eastAsia="仿宋_GB2312" w:cs="仿宋_GB2312"/>
          <w:sz w:val="32"/>
        </w:rPr>
      </w:pPr>
    </w:p>
    <w:p>
      <w:pPr>
        <w:spacing w:line="240" w:lineRule="auto"/>
        <w:ind w:firstLine="640"/>
        <w:jc w:val="both"/>
      </w:pPr>
      <w:r>
        <w:rPr>
          <w:rFonts w:ascii="仿宋_GB2312" w:hAnsi="仿宋_GB2312" w:eastAsia="仿宋_GB2312" w:cs="仿宋_GB2312"/>
          <w:sz w:val="32"/>
        </w:rPr>
        <w:t>一、</w:t>
      </w:r>
      <w:r>
        <w:rPr>
          <w:rFonts w:ascii="仿宋_GB2312" w:hAnsi="仿宋_GB2312" w:eastAsia="仿宋_GB2312" w:cs="仿宋_GB2312"/>
          <w:sz w:val="32"/>
        </w:rPr>
        <w:t>二○一二年选举第四任行政长官人选的选举委员会共</w:t>
      </w:r>
      <w:r>
        <w:rPr>
          <w:rFonts w:hint="default" w:ascii="Times New Roman" w:hAnsi="Times New Roman" w:eastAsia="仿宋_GB2312" w:cs="Times New Roman"/>
          <w:sz w:val="32"/>
        </w:rPr>
        <w:t>1200</w:t>
      </w:r>
      <w:r>
        <w:rPr>
          <w:rFonts w:ascii="仿宋_GB2312" w:hAnsi="仿宋_GB2312" w:eastAsia="仿宋_GB2312" w:cs="仿宋_GB2312"/>
          <w:sz w:val="32"/>
        </w:rPr>
        <w:t>人，由下列各界人士组成：</w:t>
      </w:r>
    </w:p>
    <w:p>
      <w:pPr>
        <w:spacing w:line="240" w:lineRule="auto"/>
        <w:ind w:firstLine="640"/>
        <w:jc w:val="left"/>
      </w:pPr>
      <w:r>
        <w:rPr>
          <w:rFonts w:ascii="仿宋_GB2312" w:hAnsi="仿宋_GB2312" w:eastAsia="仿宋_GB2312" w:cs="仿宋_GB2312"/>
          <w:sz w:val="32"/>
        </w:rPr>
        <w:t>工商、金融界　　　　　　　　　　　　　　　　　</w:t>
      </w:r>
      <w:r>
        <w:rPr>
          <w:rFonts w:hint="default" w:ascii="Times New Roman" w:hAnsi="Times New Roman" w:eastAsia="仿宋_GB2312" w:cs="Times New Roman"/>
          <w:sz w:val="32"/>
        </w:rPr>
        <w:t>300</w:t>
      </w:r>
      <w:r>
        <w:rPr>
          <w:rFonts w:ascii="仿宋_GB2312" w:hAnsi="仿宋_GB2312" w:eastAsia="仿宋_GB2312" w:cs="仿宋_GB2312"/>
          <w:sz w:val="32"/>
        </w:rPr>
        <w:t>人</w:t>
      </w:r>
    </w:p>
    <w:p>
      <w:pPr>
        <w:spacing w:line="240" w:lineRule="auto"/>
        <w:ind w:firstLine="640"/>
        <w:jc w:val="left"/>
      </w:pPr>
      <w:r>
        <w:rPr>
          <w:rFonts w:ascii="仿宋_GB2312" w:hAnsi="仿宋_GB2312" w:eastAsia="仿宋_GB2312" w:cs="仿宋_GB2312"/>
          <w:sz w:val="32"/>
        </w:rPr>
        <w:t>专业界　　　　　　　　　　　　　　　　　　　　</w:t>
      </w:r>
      <w:r>
        <w:rPr>
          <w:rFonts w:hint="default" w:ascii="Times New Roman" w:hAnsi="Times New Roman" w:eastAsia="仿宋_GB2312" w:cs="Times New Roman"/>
          <w:sz w:val="32"/>
        </w:rPr>
        <w:t>300</w:t>
      </w:r>
      <w:r>
        <w:rPr>
          <w:rFonts w:ascii="仿宋_GB2312" w:hAnsi="仿宋_GB2312" w:eastAsia="仿宋_GB2312" w:cs="仿宋_GB2312"/>
          <w:sz w:val="32"/>
        </w:rPr>
        <w:t>人</w:t>
      </w:r>
    </w:p>
    <w:p>
      <w:pPr>
        <w:spacing w:line="240" w:lineRule="auto"/>
        <w:ind w:firstLine="640"/>
        <w:jc w:val="left"/>
      </w:pPr>
      <w:r>
        <w:rPr>
          <w:rFonts w:ascii="仿宋_GB2312" w:hAnsi="仿宋_GB2312" w:eastAsia="仿宋_GB2312" w:cs="仿宋_GB2312"/>
          <w:sz w:val="32"/>
        </w:rPr>
        <w:t>劳工、社会服务、宗教等界　　　　　　　　　　　</w:t>
      </w:r>
      <w:r>
        <w:rPr>
          <w:rFonts w:hint="default" w:ascii="Times New Roman" w:hAnsi="Times New Roman" w:eastAsia="仿宋_GB2312" w:cs="Times New Roman"/>
          <w:sz w:val="32"/>
        </w:rPr>
        <w:t>300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立法会议员、区议会议员的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代表、乡议局的代表、香港</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特别行政区全国人大代表、香</w:t>
      </w:r>
    </w:p>
    <w:p>
      <w:pPr>
        <w:spacing w:line="240" w:lineRule="auto"/>
        <w:ind w:firstLine="640"/>
        <w:jc w:val="left"/>
      </w:pPr>
      <w:r>
        <w:rPr>
          <w:rFonts w:ascii="仿宋_GB2312" w:hAnsi="仿宋_GB2312" w:eastAsia="仿宋_GB2312" w:cs="仿宋_GB2312"/>
          <w:sz w:val="32"/>
        </w:rPr>
        <w:t>港特别行政区全国政协委员的代表　　　　　　　　</w:t>
      </w:r>
      <w:r>
        <w:rPr>
          <w:rFonts w:hint="default" w:ascii="Times New Roman" w:hAnsi="Times New Roman" w:eastAsia="仿宋_GB2312" w:cs="Times New Roman"/>
          <w:sz w:val="32"/>
        </w:rPr>
        <w:t>300</w:t>
      </w:r>
      <w:r>
        <w:rPr>
          <w:rFonts w:ascii="仿宋_GB2312" w:hAnsi="仿宋_GB2312" w:eastAsia="仿宋_GB2312" w:cs="仿宋_GB2312"/>
          <w:sz w:val="32"/>
        </w:rPr>
        <w:t>人</w:t>
      </w:r>
    </w:p>
    <w:p>
      <w:pPr>
        <w:spacing w:line="240" w:lineRule="auto"/>
        <w:ind w:firstLine="640"/>
        <w:jc w:val="both"/>
      </w:pPr>
      <w:r>
        <w:rPr>
          <w:rFonts w:ascii="仿宋_GB2312" w:hAnsi="仿宋_GB2312" w:eastAsia="仿宋_GB2312" w:cs="仿宋_GB2312"/>
          <w:sz w:val="32"/>
        </w:rPr>
        <w:t>选举委员会每届任期五年。</w:t>
      </w:r>
    </w:p>
    <w:p>
      <w:pPr>
        <w:spacing w:line="240" w:lineRule="auto"/>
        <w:ind w:firstLine="640"/>
        <w:jc w:val="both"/>
      </w:pPr>
      <w:r>
        <w:rPr>
          <w:rFonts w:ascii="仿宋_GB2312" w:hAnsi="仿宋_GB2312" w:eastAsia="仿宋_GB2312" w:cs="仿宋_GB2312"/>
          <w:sz w:val="32"/>
        </w:rPr>
        <w:t>二、不少于一百</w:t>
      </w:r>
      <w:bookmarkStart w:id="2" w:name="_GoBack"/>
      <w:bookmarkEnd w:id="2"/>
      <w:r>
        <w:rPr>
          <w:rFonts w:ascii="仿宋_GB2312" w:hAnsi="仿宋_GB2312" w:eastAsia="仿宋_GB2312" w:cs="仿宋_GB2312"/>
          <w:sz w:val="32"/>
        </w:rPr>
        <w:t>五十名的选举委员可联合提名行政长官候选人。每名委员只可提出一名候选人。</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B39673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2021-02-08T07:42:36Z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