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rPr>
      </w:pPr>
      <w:r>
        <w:rPr>
          <w:rFonts w:hint="eastAsia" w:ascii="宋体" w:hAnsi="宋体" w:eastAsia="宋体" w:cs="Arial"/>
          <w:bCs/>
          <w:sz w:val="44"/>
          <w:szCs w:val="44"/>
        </w:rPr>
        <w:t>全国人民代表大会常务委员会关于</w:t>
      </w:r>
    </w:p>
    <w:p>
      <w:pPr>
        <w:jc w:val="center"/>
        <w:rPr>
          <w:rFonts w:hint="eastAsia" w:ascii="宋体" w:hAnsi="宋体" w:eastAsia="宋体" w:cs="Arial"/>
          <w:bCs/>
          <w:sz w:val="44"/>
          <w:szCs w:val="44"/>
        </w:rPr>
      </w:pPr>
      <w:r>
        <w:rPr>
          <w:rFonts w:hint="eastAsia" w:ascii="宋体" w:hAnsi="宋体" w:eastAsia="宋体" w:cs="Arial"/>
          <w:bCs/>
          <w:sz w:val="44"/>
          <w:szCs w:val="44"/>
        </w:rPr>
        <w:t>授权国务院在北京市大兴区等二百三十二个</w:t>
      </w:r>
    </w:p>
    <w:p>
      <w:pPr>
        <w:jc w:val="center"/>
        <w:rPr>
          <w:rFonts w:ascii="宋体" w:hAnsi="宋体" w:eastAsia="宋体" w:cs="Arial"/>
          <w:bCs/>
          <w:sz w:val="44"/>
          <w:szCs w:val="44"/>
        </w:rPr>
      </w:pPr>
      <w:r>
        <w:rPr>
          <w:rFonts w:hint="eastAsia" w:ascii="宋体" w:hAnsi="宋体" w:eastAsia="宋体" w:cs="Arial"/>
          <w:bCs/>
          <w:sz w:val="44"/>
          <w:szCs w:val="44"/>
        </w:rPr>
        <w:t>试点县（市、区）、天津市蓟县等五十九个试点县（市、区）行政区域分别暂时调整实施有关法律规定的决定</w:t>
      </w:r>
      <w:bookmarkStart w:id="2" w:name="_GoBack"/>
      <w:bookmarkEnd w:id="2"/>
    </w:p>
    <w:p>
      <w:pPr>
        <w:ind w:right="632" w:rightChars="200"/>
        <w:rPr>
          <w:rFonts w:ascii="宋体" w:hAnsi="宋体" w:eastAsia="宋体" w:cs="Arial"/>
          <w:bCs/>
          <w:szCs w:val="32"/>
        </w:rPr>
      </w:pPr>
      <w:bookmarkStart w:id="0" w:name="AddRun"/>
    </w:p>
    <w:bookmarkEnd w:id="0"/>
    <w:p>
      <w:pPr>
        <w:ind w:left="632" w:leftChars="200" w:right="632" w:rightChars="200"/>
        <w:rPr>
          <w:rFonts w:hint="eastAsia" w:ascii="宋体" w:hAnsi="宋体" w:eastAsia="宋体" w:cs="Arial"/>
          <w:bCs/>
          <w:szCs w:val="32"/>
        </w:rPr>
      </w:pPr>
      <w:bookmarkStart w:id="1"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2015</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27</w:t>
      </w:r>
      <w:r>
        <w:rPr>
          <w:rFonts w:hint="eastAsia" w:ascii="楷体_GB2312" w:hAnsi="Arial" w:eastAsia="楷体_GB2312" w:cs="Arial"/>
          <w:szCs w:val="32"/>
        </w:rPr>
        <w:t>日第十二届全国人民代表大会常务委员会第十八次会议通过）</w:t>
      </w:r>
      <w:bookmarkEnd w:id="1"/>
    </w:p>
    <w:p>
      <w:pPr>
        <w:spacing w:line="240" w:lineRule="auto"/>
        <w:ind w:firstLine="0"/>
        <w:jc w:val="both"/>
        <w:rPr>
          <w:rFonts w:hint="eastAsia" w:ascii="宋体" w:hAnsi="宋体" w:eastAsia="宋体" w:cs="宋体"/>
        </w:rPr>
      </w:pPr>
    </w:p>
    <w:p>
      <w:pPr>
        <w:spacing w:line="240" w:lineRule="auto"/>
        <w:ind w:firstLine="640"/>
        <w:jc w:val="both"/>
      </w:pPr>
      <w:r>
        <w:rPr>
          <w:rFonts w:ascii="仿宋_GB2312" w:hAnsi="仿宋_GB2312" w:eastAsia="仿宋_GB2312" w:cs="仿宋_GB2312"/>
          <w:sz w:val="32"/>
        </w:rPr>
        <w:t>为了落实农村土地的用益物权，赋予农民更多财产权利，深化农村金融改革创新，有效盘活农村资源、资金、资产，为稳步推进农村土地制度改革提供经验和模式，第十二届全国人民代表大会常务委员会第十八次会议决定：授权国务院在北京市大兴区等</w:t>
      </w:r>
      <w:r>
        <w:rPr>
          <w:rFonts w:hint="default" w:ascii="Times New Roman" w:hAnsi="Times New Roman" w:eastAsia="仿宋_GB2312" w:cs="Times New Roman"/>
          <w:sz w:val="32"/>
        </w:rPr>
        <w:t>232</w:t>
      </w:r>
      <w:r>
        <w:rPr>
          <w:rFonts w:ascii="仿宋_GB2312" w:hAnsi="仿宋_GB2312" w:eastAsia="仿宋_GB2312" w:cs="仿宋_GB2312"/>
          <w:sz w:val="32"/>
        </w:rPr>
        <w:t>个试点县（市、区）行政区域，暂时调整实施《中华人民共和国物权法》、《中华人民共和国担保法》关于集体所有的耕地使用权不得抵押的规定；在天津市蓟县等</w:t>
      </w:r>
      <w:r>
        <w:rPr>
          <w:rFonts w:hint="default" w:ascii="Times New Roman" w:hAnsi="Times New Roman" w:eastAsia="仿宋_GB2312" w:cs="Times New Roman"/>
          <w:sz w:val="32"/>
        </w:rPr>
        <w:t>59</w:t>
      </w:r>
      <w:r>
        <w:rPr>
          <w:rFonts w:ascii="仿宋_GB2312" w:hAnsi="仿宋_GB2312" w:eastAsia="仿宋_GB2312" w:cs="仿宋_GB2312"/>
          <w:sz w:val="32"/>
        </w:rPr>
        <w:t>个试点县（市、区）行政区域暂时调整实施《中华人民共和国物权法》、《中华人民共和国担保法》关于集体所有的宅基地使用权不得抵押的规定。上述调整在</w:t>
      </w:r>
      <w:r>
        <w:rPr>
          <w:rFonts w:hint="default" w:ascii="Times New Roman" w:hAnsi="Times New Roman" w:eastAsia="仿宋_GB2312" w:cs="Times New Roman"/>
          <w:sz w:val="32"/>
        </w:rPr>
        <w:t>2017</w:t>
      </w:r>
      <w:r>
        <w:rPr>
          <w:rFonts w:ascii="仿宋_GB2312" w:hAnsi="仿宋_GB2312" w:eastAsia="仿宋_GB2312" w:cs="仿宋_GB2312"/>
          <w:sz w:val="32"/>
        </w:rPr>
        <w:t>年</w:t>
      </w:r>
      <w:r>
        <w:rPr>
          <w:rFonts w:hint="default" w:ascii="Times New Roman" w:hAnsi="Times New Roman" w:eastAsia="仿宋_GB2312" w:cs="Times New Roman"/>
          <w:sz w:val="32"/>
        </w:rPr>
        <w:t>12</w:t>
      </w:r>
      <w:r>
        <w:rPr>
          <w:rFonts w:ascii="仿宋_GB2312" w:hAnsi="仿宋_GB2312" w:eastAsia="仿宋_GB2312" w:cs="仿宋_GB2312"/>
          <w:sz w:val="32"/>
        </w:rPr>
        <w:t>月</w:t>
      </w:r>
      <w:r>
        <w:rPr>
          <w:rFonts w:hint="default" w:ascii="Times New Roman" w:hAnsi="Times New Roman" w:eastAsia="仿宋_GB2312" w:cs="Times New Roman"/>
          <w:sz w:val="32"/>
        </w:rPr>
        <w:t>31</w:t>
      </w:r>
      <w:r>
        <w:rPr>
          <w:rFonts w:ascii="仿宋_GB2312" w:hAnsi="仿宋_GB2312" w:eastAsia="仿宋_GB2312" w:cs="仿宋_GB2312"/>
          <w:sz w:val="32"/>
        </w:rPr>
        <w:t>日前试行。暂时调整实施有关法律规定，必须坚守土地公有制性质不改变、耕地红线不突破、农民利益不受损的底线，坚持从实际出发，因地制宜。国务院及其有关部门要完善配套制度，加强对试点工作的整体指导和统筹协调、监督管理，按程序、分步骤审慎稳妥推进，防范各种风险，及时总结试点工作经验，并就暂时调整实施有关法律规定的情况向全国人民代表大会常务委员会作出报告。</w:t>
      </w:r>
    </w:p>
    <w:p>
      <w:pPr>
        <w:spacing w:line="240" w:lineRule="auto"/>
        <w:ind w:firstLine="640"/>
        <w:jc w:val="both"/>
      </w:pPr>
      <w:r>
        <w:rPr>
          <w:rFonts w:ascii="仿宋_GB2312" w:hAnsi="仿宋_GB2312" w:eastAsia="仿宋_GB2312" w:cs="仿宋_GB2312"/>
          <w:sz w:val="32"/>
        </w:rPr>
        <w:t>试点县（市、区）名单和暂时调整实施有关法律规定目录附后。</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本决定自</w:t>
      </w:r>
      <w:r>
        <w:rPr>
          <w:rFonts w:hint="default" w:ascii="Times New Roman" w:hAnsi="Times New Roman" w:eastAsia="仿宋_GB2312" w:cs="Times New Roman"/>
          <w:sz w:val="32"/>
        </w:rPr>
        <w:t>2015</w:t>
      </w:r>
      <w:r>
        <w:rPr>
          <w:rFonts w:ascii="仿宋_GB2312" w:hAnsi="仿宋_GB2312" w:eastAsia="仿宋_GB2312" w:cs="仿宋_GB2312"/>
          <w:sz w:val="32"/>
        </w:rPr>
        <w:t>年</w:t>
      </w:r>
      <w:r>
        <w:rPr>
          <w:rFonts w:hint="default" w:ascii="Times New Roman" w:hAnsi="Times New Roman" w:eastAsia="仿宋_GB2312" w:cs="Times New Roman"/>
          <w:sz w:val="32"/>
        </w:rPr>
        <w:t>12</w:t>
      </w:r>
      <w:r>
        <w:rPr>
          <w:rFonts w:ascii="仿宋_GB2312" w:hAnsi="仿宋_GB2312" w:eastAsia="仿宋_GB2312" w:cs="仿宋_GB2312"/>
          <w:sz w:val="32"/>
        </w:rPr>
        <w:t>月</w:t>
      </w:r>
      <w:r>
        <w:rPr>
          <w:rFonts w:hint="default" w:ascii="Times New Roman" w:hAnsi="Times New Roman" w:eastAsia="仿宋_GB2312" w:cs="Times New Roman"/>
          <w:sz w:val="32"/>
        </w:rPr>
        <w:t>28</w:t>
      </w:r>
      <w:r>
        <w:rPr>
          <w:rFonts w:ascii="仿宋_GB2312" w:hAnsi="仿宋_GB2312" w:eastAsia="仿宋_GB2312" w:cs="仿宋_GB2312"/>
          <w:sz w:val="32"/>
        </w:rPr>
        <w:t>日起施行。</w:t>
      </w:r>
    </w:p>
    <w:p>
      <w:pPr>
        <w:spacing w:line="240" w:lineRule="auto"/>
        <w:ind w:firstLine="640"/>
        <w:jc w:val="both"/>
        <w:rPr>
          <w:rFonts w:hint="eastAsia" w:ascii="宋体" w:hAnsi="宋体" w:eastAsia="宋体" w:cs="宋体"/>
          <w:sz w:val="32"/>
        </w:rPr>
      </w:pPr>
    </w:p>
    <w:p>
      <w:pPr>
        <w:spacing w:line="240" w:lineRule="auto"/>
        <w:ind w:firstLine="640"/>
        <w:jc w:val="center"/>
        <w:rPr>
          <w:rFonts w:hint="eastAsia" w:ascii="宋体" w:hAnsi="宋体" w:eastAsia="宋体" w:cs="宋体"/>
          <w:sz w:val="44"/>
          <w:szCs w:val="44"/>
        </w:rPr>
      </w:pPr>
      <w:r>
        <w:rPr>
          <w:rFonts w:hint="eastAsia" w:ascii="宋体" w:hAnsi="宋体" w:eastAsia="宋体" w:cs="宋体"/>
          <w:sz w:val="44"/>
          <w:szCs w:val="44"/>
        </w:rPr>
        <w:t>农村承包土地的经营权抵押贷款试点县(市、区)名单</w:t>
      </w:r>
    </w:p>
    <w:p>
      <w:pPr>
        <w:spacing w:line="240" w:lineRule="auto"/>
        <w:ind w:firstLine="640"/>
        <w:jc w:val="center"/>
        <w:rPr>
          <w:rFonts w:hint="eastAsia" w:ascii="宋体" w:hAnsi="宋体" w:eastAsia="宋体" w:cs="宋体"/>
          <w:sz w:val="32"/>
          <w:szCs w:val="32"/>
        </w:rPr>
      </w:pPr>
      <w:r>
        <w:rPr>
          <w:rFonts w:hint="eastAsia" w:ascii="宋体" w:hAnsi="宋体" w:eastAsia="宋体" w:cs="宋体"/>
          <w:sz w:val="44"/>
          <w:szCs w:val="44"/>
        </w:rPr>
        <w:t>(</w:t>
      </w:r>
      <w:r>
        <w:rPr>
          <w:rFonts w:hint="default" w:ascii="Times New Roman" w:hAnsi="Times New Roman" w:eastAsia="宋体" w:cs="Times New Roman"/>
          <w:sz w:val="44"/>
          <w:szCs w:val="44"/>
        </w:rPr>
        <w:t>232</w:t>
      </w:r>
      <w:r>
        <w:rPr>
          <w:rFonts w:hint="eastAsia" w:ascii="宋体" w:hAnsi="宋体" w:eastAsia="宋体" w:cs="宋体"/>
          <w:sz w:val="44"/>
          <w:szCs w:val="44"/>
        </w:rPr>
        <w:t>个)</w:t>
      </w:r>
    </w:p>
    <w:tbl>
      <w:tblPr>
        <w:tblStyle w:val="8"/>
        <w:tblW w:w="8820" w:type="dxa"/>
        <w:tblInd w:w="51" w:type="dxa"/>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
      <w:tblGrid>
        <w:gridCol w:w="2295"/>
        <w:gridCol w:w="6525"/>
      </w:tblGrid>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tblHeader/>
        </w:trPr>
        <w:tc>
          <w:tcPr>
            <w:tcW w:w="229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center"/>
              <w:rPr>
                <w:rFonts w:hint="eastAsia" w:ascii="黑体" w:hAnsi="黑体" w:eastAsia="黑体" w:cs="黑体"/>
                <w:sz w:val="32"/>
                <w:szCs w:val="32"/>
              </w:rPr>
            </w:pPr>
            <w:r>
              <w:rPr>
                <w:rFonts w:hint="eastAsia" w:ascii="黑体" w:hAnsi="黑体" w:eastAsia="黑体" w:cs="黑体"/>
                <w:sz w:val="32"/>
                <w:szCs w:val="32"/>
              </w:rPr>
              <w:t>所在省(区、市)</w:t>
            </w:r>
          </w:p>
        </w:tc>
        <w:tc>
          <w:tcPr>
            <w:tcW w:w="652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center"/>
              <w:rPr>
                <w:rFonts w:hint="eastAsia" w:ascii="黑体" w:hAnsi="黑体" w:eastAsia="黑体" w:cs="黑体"/>
                <w:sz w:val="32"/>
                <w:szCs w:val="32"/>
              </w:rPr>
            </w:pPr>
            <w:r>
              <w:rPr>
                <w:rFonts w:hint="eastAsia" w:ascii="黑体" w:hAnsi="黑体" w:eastAsia="黑体" w:cs="黑体"/>
                <w:sz w:val="32"/>
                <w:szCs w:val="32"/>
              </w:rPr>
              <w:t>试点县(市、区)</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Layout w:type="fixed"/>
          <w:tblCellMar>
            <w:top w:w="45" w:type="dxa"/>
            <w:left w:w="45" w:type="dxa"/>
            <w:bottom w:w="45" w:type="dxa"/>
            <w:right w:w="45" w:type="dxa"/>
          </w:tblCellMar>
        </w:tblPrEx>
        <w:tc>
          <w:tcPr>
            <w:tcW w:w="22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北京市</w:t>
            </w:r>
          </w:p>
        </w:tc>
        <w:tc>
          <w:tcPr>
            <w:tcW w:w="65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大兴区、平谷区</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Layout w:type="fixed"/>
          <w:tblCellMar>
            <w:top w:w="45" w:type="dxa"/>
            <w:left w:w="45" w:type="dxa"/>
            <w:bottom w:w="45" w:type="dxa"/>
            <w:right w:w="45" w:type="dxa"/>
          </w:tblCellMar>
        </w:tblPrEx>
        <w:tc>
          <w:tcPr>
            <w:tcW w:w="22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天津市</w:t>
            </w:r>
          </w:p>
        </w:tc>
        <w:tc>
          <w:tcPr>
            <w:tcW w:w="65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宝坻区、武清区</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Layout w:type="fixed"/>
          <w:tblCellMar>
            <w:top w:w="45" w:type="dxa"/>
            <w:left w:w="45" w:type="dxa"/>
            <w:bottom w:w="45" w:type="dxa"/>
            <w:right w:w="45" w:type="dxa"/>
          </w:tblCellMar>
        </w:tblPrEx>
        <w:tc>
          <w:tcPr>
            <w:tcW w:w="22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河北省</w:t>
            </w:r>
          </w:p>
        </w:tc>
        <w:tc>
          <w:tcPr>
            <w:tcW w:w="65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玉田县、邱县、张北县、平乡县、威县、饶阳县</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Layout w:type="fixed"/>
          <w:tblCellMar>
            <w:top w:w="45" w:type="dxa"/>
            <w:left w:w="45" w:type="dxa"/>
            <w:bottom w:w="45" w:type="dxa"/>
            <w:right w:w="45" w:type="dxa"/>
          </w:tblCellMar>
        </w:tblPrEx>
        <w:tc>
          <w:tcPr>
            <w:tcW w:w="22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山西省</w:t>
            </w:r>
          </w:p>
        </w:tc>
        <w:tc>
          <w:tcPr>
            <w:tcW w:w="65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运城市盐湖区、新绛县、潞城市、太谷县、定襄县、曲沃县</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Layout w:type="fixed"/>
          <w:tblCellMar>
            <w:top w:w="45" w:type="dxa"/>
            <w:left w:w="45" w:type="dxa"/>
            <w:bottom w:w="45" w:type="dxa"/>
            <w:right w:w="45" w:type="dxa"/>
          </w:tblCellMar>
        </w:tblPrEx>
        <w:tc>
          <w:tcPr>
            <w:tcW w:w="22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内蒙古自治区</w:t>
            </w:r>
          </w:p>
        </w:tc>
        <w:tc>
          <w:tcPr>
            <w:tcW w:w="65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呼伦贝尔市阿荣旗、兴安盟扎赉特旗、开鲁县、锡林郭勒盟镶黄旗、鄂尔多斯市达拉特旗、</w:t>
            </w:r>
          </w:p>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巴彦淖尔市临河区、赤峰市克什克腾旗、包头市土默特右旗</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Layout w:type="fixed"/>
          <w:tblCellMar>
            <w:top w:w="45" w:type="dxa"/>
            <w:left w:w="45" w:type="dxa"/>
            <w:bottom w:w="45" w:type="dxa"/>
            <w:right w:w="45" w:type="dxa"/>
          </w:tblCellMar>
        </w:tblPrEx>
        <w:tc>
          <w:tcPr>
            <w:tcW w:w="22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辽宁省</w:t>
            </w:r>
          </w:p>
        </w:tc>
        <w:tc>
          <w:tcPr>
            <w:tcW w:w="65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海城市、东港市、辽阳县、盘山县、昌图县、瓦房店市、沈阳市于洪区</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Layout w:type="fixed"/>
          <w:tblCellMar>
            <w:top w:w="45" w:type="dxa"/>
            <w:left w:w="45" w:type="dxa"/>
            <w:bottom w:w="45" w:type="dxa"/>
            <w:right w:w="45" w:type="dxa"/>
          </w:tblCellMar>
        </w:tblPrEx>
        <w:tc>
          <w:tcPr>
            <w:tcW w:w="22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吉林省</w:t>
            </w:r>
          </w:p>
        </w:tc>
        <w:tc>
          <w:tcPr>
            <w:tcW w:w="65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榆树市、农安县、永吉县、敦化市、梨树县、柳河县、洮南市、东辽县、前郭尔罗斯蒙古族自治县、抚松县、梅河口市、公主岭市、珲春市、龙井市、延吉市</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Layout w:type="fixed"/>
          <w:tblCellMar>
            <w:top w:w="45" w:type="dxa"/>
            <w:left w:w="45" w:type="dxa"/>
            <w:bottom w:w="45" w:type="dxa"/>
            <w:right w:w="45" w:type="dxa"/>
          </w:tblCellMar>
        </w:tblPrEx>
        <w:tc>
          <w:tcPr>
            <w:tcW w:w="22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黑龙江省</w:t>
            </w:r>
          </w:p>
        </w:tc>
        <w:tc>
          <w:tcPr>
            <w:tcW w:w="65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克山县、方正县、讷河市、延寿县、五常市、哈尔滨市呼兰区、桦川县、克东县、富锦市、汤原县、兰西县、庆安县、密山市、绥滨县、宝清县</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Layout w:type="fixed"/>
          <w:tblCellMar>
            <w:top w:w="45" w:type="dxa"/>
            <w:left w:w="45" w:type="dxa"/>
            <w:bottom w:w="45" w:type="dxa"/>
            <w:right w:w="45" w:type="dxa"/>
          </w:tblCellMar>
        </w:tblPrEx>
        <w:trPr>
          <w:trHeight w:val="1887" w:hRule="atLeast"/>
        </w:trPr>
        <w:tc>
          <w:tcPr>
            <w:tcW w:w="22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江苏省</w:t>
            </w:r>
          </w:p>
        </w:tc>
        <w:tc>
          <w:tcPr>
            <w:tcW w:w="65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东海县、泗洪县、沛县、金湖县、泰州市姜堰区、太仓市、如皋市、东台市、无锡市</w:t>
            </w:r>
            <w:r>
              <w:rPr>
                <w:rFonts w:hint="eastAsia" w:ascii="仿宋_GB2312" w:hAnsi="仿宋_GB2312" w:cs="仿宋_GB2312"/>
                <w:kern w:val="2"/>
                <w:sz w:val="32"/>
                <w:szCs w:val="24"/>
                <w:lang w:val="en-US" w:eastAsia="zh-CN" w:bidi="ar-SA"/>
              </w:rPr>
              <w:t>惠</w:t>
            </w:r>
            <w:r>
              <w:rPr>
                <w:rFonts w:hint="eastAsia" w:ascii="仿宋_GB2312" w:hAnsi="仿宋_GB2312" w:eastAsia="仿宋_GB2312" w:cs="仿宋_GB2312"/>
                <w:kern w:val="2"/>
                <w:sz w:val="32"/>
                <w:szCs w:val="24"/>
                <w:lang w:val="en-US" w:eastAsia="zh-CN" w:bidi="ar-SA"/>
              </w:rPr>
              <w:t>山区、南京市高淳区</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Layout w:type="fixed"/>
          <w:tblCellMar>
            <w:top w:w="45" w:type="dxa"/>
            <w:left w:w="45" w:type="dxa"/>
            <w:bottom w:w="45" w:type="dxa"/>
            <w:right w:w="45" w:type="dxa"/>
          </w:tblCellMar>
        </w:tblPrEx>
        <w:tc>
          <w:tcPr>
            <w:tcW w:w="22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浙江省</w:t>
            </w:r>
          </w:p>
        </w:tc>
        <w:tc>
          <w:tcPr>
            <w:tcW w:w="65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龙泉市、长兴县、海盐县、慈溪市、温岭市、衢州市衢江区、缙云县、嵊州市、嘉善县、德清县</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Layout w:type="fixed"/>
          <w:tblCellMar>
            <w:top w:w="45" w:type="dxa"/>
            <w:left w:w="45" w:type="dxa"/>
            <w:bottom w:w="45" w:type="dxa"/>
            <w:right w:w="45" w:type="dxa"/>
          </w:tblCellMar>
        </w:tblPrEx>
        <w:tc>
          <w:tcPr>
            <w:tcW w:w="22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安徽省</w:t>
            </w:r>
          </w:p>
        </w:tc>
        <w:tc>
          <w:tcPr>
            <w:tcW w:w="65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宿州市埇桥区、金寨县、铜陵县、庐江县、</w:t>
            </w:r>
          </w:p>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阜阳市颍泉区、黄山市黄山区、定远县、涡阳县、宿松县、凤台县</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Layout w:type="fixed"/>
          <w:tblCellMar>
            <w:top w:w="45" w:type="dxa"/>
            <w:left w:w="45" w:type="dxa"/>
            <w:bottom w:w="45" w:type="dxa"/>
            <w:right w:w="45" w:type="dxa"/>
          </w:tblCellMar>
        </w:tblPrEx>
        <w:tc>
          <w:tcPr>
            <w:tcW w:w="22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福建省</w:t>
            </w:r>
          </w:p>
        </w:tc>
        <w:tc>
          <w:tcPr>
            <w:tcW w:w="65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漳浦县、建瓯市、沙县、仙游县、福清市、武平县、永春县、屏南县、邵武市、古田县</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Layout w:type="fixed"/>
          <w:tblCellMar>
            <w:top w:w="45" w:type="dxa"/>
            <w:left w:w="45" w:type="dxa"/>
            <w:bottom w:w="45" w:type="dxa"/>
            <w:right w:w="45" w:type="dxa"/>
          </w:tblCellMar>
        </w:tblPrEx>
        <w:tc>
          <w:tcPr>
            <w:tcW w:w="22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江西省</w:t>
            </w:r>
          </w:p>
        </w:tc>
        <w:tc>
          <w:tcPr>
            <w:tcW w:w="65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安义县、乐平市、铜鼓县、修水县、金溪县、新干县、信丰县、吉安县、贵溪市、赣县</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Layout w:type="fixed"/>
          <w:tblCellMar>
            <w:top w:w="45" w:type="dxa"/>
            <w:left w:w="45" w:type="dxa"/>
            <w:bottom w:w="45" w:type="dxa"/>
            <w:right w:w="45" w:type="dxa"/>
          </w:tblCellMar>
        </w:tblPrEx>
        <w:tc>
          <w:tcPr>
            <w:tcW w:w="22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山东省</w:t>
            </w:r>
          </w:p>
        </w:tc>
        <w:tc>
          <w:tcPr>
            <w:tcW w:w="65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东营市河口区、青州市、平度市、沂南县、武城县、枣庄市台儿庄区、沂源县、寿光市、莘县、乐陵市</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Layout w:type="fixed"/>
          <w:tblCellMar>
            <w:top w:w="45" w:type="dxa"/>
            <w:left w:w="45" w:type="dxa"/>
            <w:bottom w:w="45" w:type="dxa"/>
            <w:right w:w="45" w:type="dxa"/>
          </w:tblCellMar>
        </w:tblPrEx>
        <w:tc>
          <w:tcPr>
            <w:tcW w:w="22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河南省</w:t>
            </w:r>
          </w:p>
        </w:tc>
        <w:tc>
          <w:tcPr>
            <w:tcW w:w="65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长垣县、安阳县、宝丰县、邓州市、济源市、长葛市、遂平县、固始县、浚县</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Layout w:type="fixed"/>
          <w:tblCellMar>
            <w:top w:w="45" w:type="dxa"/>
            <w:left w:w="45" w:type="dxa"/>
            <w:bottom w:w="45" w:type="dxa"/>
            <w:right w:w="45" w:type="dxa"/>
          </w:tblCellMar>
        </w:tblPrEx>
        <w:tc>
          <w:tcPr>
            <w:tcW w:w="22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湖北省</w:t>
            </w:r>
          </w:p>
        </w:tc>
        <w:tc>
          <w:tcPr>
            <w:tcW w:w="65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钟祥市、武汉市黄陂区、宜昌市夷陵区、鄂州市梁子湖区、随县、南漳县、大冶市、公安县、武穴市、云梦县</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Layout w:type="fixed"/>
          <w:tblCellMar>
            <w:top w:w="45" w:type="dxa"/>
            <w:left w:w="45" w:type="dxa"/>
            <w:bottom w:w="45" w:type="dxa"/>
            <w:right w:w="45" w:type="dxa"/>
          </w:tblCellMar>
        </w:tblPrEx>
        <w:tc>
          <w:tcPr>
            <w:tcW w:w="22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湖南省</w:t>
            </w:r>
          </w:p>
        </w:tc>
        <w:tc>
          <w:tcPr>
            <w:tcW w:w="65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汉寿县、岳阳县、新田县、桃江县、洞口县、沅陵县、慈利县、双峰县</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Layout w:type="fixed"/>
          <w:tblCellMar>
            <w:top w:w="45" w:type="dxa"/>
            <w:left w:w="45" w:type="dxa"/>
            <w:bottom w:w="45" w:type="dxa"/>
            <w:right w:w="45" w:type="dxa"/>
          </w:tblCellMar>
        </w:tblPrEx>
        <w:tc>
          <w:tcPr>
            <w:tcW w:w="22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广东省</w:t>
            </w:r>
          </w:p>
        </w:tc>
        <w:tc>
          <w:tcPr>
            <w:tcW w:w="65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蕉岭县、阳山县、德庆县、郁南县、廉江市、罗定市、英德市</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Layout w:type="fixed"/>
          <w:tblCellMar>
            <w:top w:w="45" w:type="dxa"/>
            <w:left w:w="45" w:type="dxa"/>
            <w:bottom w:w="45" w:type="dxa"/>
            <w:right w:w="45" w:type="dxa"/>
          </w:tblCellMar>
        </w:tblPrEx>
        <w:tc>
          <w:tcPr>
            <w:tcW w:w="22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广西壮族自治区</w:t>
            </w:r>
          </w:p>
        </w:tc>
        <w:tc>
          <w:tcPr>
            <w:tcW w:w="65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田阳县、田东县、玉林市玉州区、象州县、南宁市武鸣区、东兴市、北流市、兴业县</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Layout w:type="fixed"/>
          <w:tblCellMar>
            <w:top w:w="45" w:type="dxa"/>
            <w:left w:w="45" w:type="dxa"/>
            <w:bottom w:w="45" w:type="dxa"/>
            <w:right w:w="45" w:type="dxa"/>
          </w:tblCellMar>
        </w:tblPrEx>
        <w:tc>
          <w:tcPr>
            <w:tcW w:w="22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海南省</w:t>
            </w:r>
          </w:p>
        </w:tc>
        <w:tc>
          <w:tcPr>
            <w:tcW w:w="65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东方市、屯昌县、文昌市</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Layout w:type="fixed"/>
          <w:tblCellMar>
            <w:top w:w="45" w:type="dxa"/>
            <w:left w:w="45" w:type="dxa"/>
            <w:bottom w:w="45" w:type="dxa"/>
            <w:right w:w="45" w:type="dxa"/>
          </w:tblCellMar>
        </w:tblPrEx>
        <w:tc>
          <w:tcPr>
            <w:tcW w:w="22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重庆市</w:t>
            </w:r>
          </w:p>
        </w:tc>
        <w:tc>
          <w:tcPr>
            <w:tcW w:w="65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永川区、梁平县、潼南区、荣昌区、忠县、铜梁区、南川区、巴南区、武隆县、秀山土家族苗族自治县</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Layout w:type="fixed"/>
          <w:tblCellMar>
            <w:top w:w="45" w:type="dxa"/>
            <w:left w:w="45" w:type="dxa"/>
            <w:bottom w:w="45" w:type="dxa"/>
            <w:right w:w="45" w:type="dxa"/>
          </w:tblCellMar>
        </w:tblPrEx>
        <w:tc>
          <w:tcPr>
            <w:tcW w:w="22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四川省</w:t>
            </w:r>
          </w:p>
        </w:tc>
        <w:tc>
          <w:tcPr>
            <w:tcW w:w="65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成都市温江区、崇州市、眉山市彭山区、内江市市中区、蓬溪县、西充县、巴中市巴州区、武胜县、井研县、苍溪县</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Layout w:type="fixed"/>
          <w:tblCellMar>
            <w:top w:w="45" w:type="dxa"/>
            <w:left w:w="45" w:type="dxa"/>
            <w:bottom w:w="45" w:type="dxa"/>
            <w:right w:w="45" w:type="dxa"/>
          </w:tblCellMar>
        </w:tblPrEx>
        <w:tc>
          <w:tcPr>
            <w:tcW w:w="22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贵州省</w:t>
            </w:r>
          </w:p>
        </w:tc>
        <w:tc>
          <w:tcPr>
            <w:tcW w:w="65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德江县、水城县、湄潭县、兴仁县、盘县、普定县、安龙县、开阳县、六盘水市六枝特区</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Layout w:type="fixed"/>
          <w:tblCellMar>
            <w:top w:w="45" w:type="dxa"/>
            <w:left w:w="45" w:type="dxa"/>
            <w:bottom w:w="45" w:type="dxa"/>
            <w:right w:w="45" w:type="dxa"/>
          </w:tblCellMar>
        </w:tblPrEx>
        <w:tc>
          <w:tcPr>
            <w:tcW w:w="22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云南省</w:t>
            </w:r>
          </w:p>
        </w:tc>
        <w:tc>
          <w:tcPr>
            <w:tcW w:w="65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开远市、砚山县、剑川县、鲁甸县、景谷傣族彝族自治县、富民县</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Layout w:type="fixed"/>
          <w:tblCellMar>
            <w:top w:w="45" w:type="dxa"/>
            <w:left w:w="45" w:type="dxa"/>
            <w:bottom w:w="45" w:type="dxa"/>
            <w:right w:w="45" w:type="dxa"/>
          </w:tblCellMar>
        </w:tblPrEx>
        <w:tc>
          <w:tcPr>
            <w:tcW w:w="22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西藏自治区</w:t>
            </w:r>
          </w:p>
        </w:tc>
        <w:tc>
          <w:tcPr>
            <w:tcW w:w="65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曲水县、米林县</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Layout w:type="fixed"/>
          <w:tblCellMar>
            <w:top w:w="45" w:type="dxa"/>
            <w:left w:w="45" w:type="dxa"/>
            <w:bottom w:w="45" w:type="dxa"/>
            <w:right w:w="45" w:type="dxa"/>
          </w:tblCellMar>
        </w:tblPrEx>
        <w:tc>
          <w:tcPr>
            <w:tcW w:w="22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陕西省</w:t>
            </w:r>
          </w:p>
        </w:tc>
        <w:tc>
          <w:tcPr>
            <w:tcW w:w="65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杨陵区、平利县、西安市高陵区、富平县、千阳县、南郑县、宜川县、铜川市耀州区</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Layout w:type="fixed"/>
          <w:tblCellMar>
            <w:top w:w="45" w:type="dxa"/>
            <w:left w:w="45" w:type="dxa"/>
            <w:bottom w:w="45" w:type="dxa"/>
            <w:right w:w="45" w:type="dxa"/>
          </w:tblCellMar>
        </w:tblPrEx>
        <w:tc>
          <w:tcPr>
            <w:tcW w:w="22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甘肃省</w:t>
            </w:r>
          </w:p>
        </w:tc>
        <w:tc>
          <w:tcPr>
            <w:tcW w:w="65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西和县、金昌市金川区、武威市凉州区、陇西县、临夏县、金塔县</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Layout w:type="fixed"/>
          <w:tblCellMar>
            <w:top w:w="45" w:type="dxa"/>
            <w:left w:w="45" w:type="dxa"/>
            <w:bottom w:w="45" w:type="dxa"/>
            <w:right w:w="45" w:type="dxa"/>
          </w:tblCellMar>
        </w:tblPrEx>
        <w:tc>
          <w:tcPr>
            <w:tcW w:w="22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青海省</w:t>
            </w:r>
          </w:p>
        </w:tc>
        <w:tc>
          <w:tcPr>
            <w:tcW w:w="65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大通回族土族自治县、互助土族自治县、门源回族自治县、海晏县、海东市乐都区</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Layout w:type="fixed"/>
          <w:tblCellMar>
            <w:top w:w="45" w:type="dxa"/>
            <w:left w:w="45" w:type="dxa"/>
            <w:bottom w:w="45" w:type="dxa"/>
            <w:right w:w="45" w:type="dxa"/>
          </w:tblCellMar>
        </w:tblPrEx>
        <w:tc>
          <w:tcPr>
            <w:tcW w:w="22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宁夏回族自治区</w:t>
            </w:r>
          </w:p>
        </w:tc>
        <w:tc>
          <w:tcPr>
            <w:tcW w:w="65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平罗县、中卫市沙坡头区、同心县、永宁县、贺兰县</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Layout w:type="fixed"/>
          <w:tblCellMar>
            <w:top w:w="45" w:type="dxa"/>
            <w:left w:w="45" w:type="dxa"/>
            <w:bottom w:w="45" w:type="dxa"/>
            <w:right w:w="45" w:type="dxa"/>
          </w:tblCellMar>
        </w:tblPrEx>
        <w:tc>
          <w:tcPr>
            <w:tcW w:w="229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新疆维吾尔自治区</w:t>
            </w:r>
          </w:p>
        </w:tc>
        <w:tc>
          <w:tcPr>
            <w:tcW w:w="652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jc w:val="center"/>
              <w:rPr>
                <w:rFonts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呼图壁县、沙湾县、博乐市、阿克苏市、克拉玛依市克拉玛依区</w:t>
            </w:r>
          </w:p>
        </w:tc>
      </w:tr>
    </w:tbl>
    <w:p>
      <w:pPr>
        <w:spacing w:line="240" w:lineRule="auto"/>
        <w:ind w:firstLine="640"/>
        <w:jc w:val="both"/>
        <w:rPr>
          <w:rFonts w:hint="eastAsia" w:ascii="宋体" w:hAnsi="宋体" w:eastAsia="宋体" w:cs="宋体"/>
          <w:sz w:val="32"/>
        </w:rPr>
      </w:pPr>
    </w:p>
    <w:p>
      <w:pPr>
        <w:spacing w:line="240" w:lineRule="auto"/>
        <w:ind w:firstLine="640"/>
        <w:jc w:val="center"/>
        <w:rPr>
          <w:rFonts w:hint="eastAsia" w:ascii="宋体" w:hAnsi="宋体" w:eastAsia="宋体" w:cs="宋体"/>
          <w:kern w:val="2"/>
          <w:sz w:val="32"/>
          <w:szCs w:val="32"/>
          <w:lang w:val="en-US" w:eastAsia="zh-CN" w:bidi="ar-SA"/>
        </w:rPr>
      </w:pPr>
      <w:r>
        <w:rPr>
          <w:rFonts w:hint="eastAsia" w:ascii="宋体" w:hAnsi="宋体" w:eastAsia="宋体" w:cs="宋体"/>
          <w:kern w:val="2"/>
          <w:sz w:val="44"/>
          <w:szCs w:val="44"/>
          <w:lang w:val="en-US" w:eastAsia="zh-CN" w:bidi="ar-SA"/>
        </w:rPr>
        <w:t>农民住房财产权抵押贷款试点县(市、区)名单(</w:t>
      </w:r>
      <w:r>
        <w:rPr>
          <w:rFonts w:hint="default" w:ascii="Times New Roman" w:hAnsi="Times New Roman" w:eastAsia="宋体" w:cs="Times New Roman"/>
          <w:kern w:val="2"/>
          <w:sz w:val="44"/>
          <w:szCs w:val="44"/>
          <w:lang w:val="en-US" w:eastAsia="zh-CN" w:bidi="ar-SA"/>
        </w:rPr>
        <w:t>59</w:t>
      </w:r>
      <w:r>
        <w:rPr>
          <w:rFonts w:hint="eastAsia" w:ascii="宋体" w:hAnsi="宋体" w:eastAsia="宋体" w:cs="宋体"/>
          <w:kern w:val="2"/>
          <w:sz w:val="44"/>
          <w:szCs w:val="44"/>
          <w:lang w:val="en-US" w:eastAsia="zh-CN" w:bidi="ar-SA"/>
        </w:rPr>
        <w:t>个)</w:t>
      </w:r>
    </w:p>
    <w:tbl>
      <w:tblPr>
        <w:tblStyle w:val="8"/>
        <w:tblW w:w="8820" w:type="dxa"/>
        <w:tblInd w:w="53" w:type="dxa"/>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
      <w:tblGrid>
        <w:gridCol w:w="2312"/>
        <w:gridCol w:w="6508"/>
      </w:tblGrid>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tblHeader/>
        </w:trPr>
        <w:tc>
          <w:tcPr>
            <w:tcW w:w="231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center"/>
              <w:rPr>
                <w:rFonts w:hint="eastAsia" w:ascii="黑体" w:hAnsi="黑体" w:eastAsia="黑体" w:cs="黑体"/>
                <w:sz w:val="32"/>
                <w:szCs w:val="32"/>
              </w:rPr>
            </w:pPr>
            <w:r>
              <w:rPr>
                <w:rFonts w:hint="eastAsia" w:ascii="黑体" w:hAnsi="黑体" w:eastAsia="黑体" w:cs="黑体"/>
                <w:sz w:val="32"/>
                <w:szCs w:val="32"/>
              </w:rPr>
              <w:t>所在省(区、市)</w:t>
            </w:r>
          </w:p>
        </w:tc>
        <w:tc>
          <w:tcPr>
            <w:tcW w:w="65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center"/>
              <w:rPr>
                <w:rFonts w:hint="eastAsia" w:ascii="黑体" w:hAnsi="黑体" w:eastAsia="黑体" w:cs="黑体"/>
                <w:sz w:val="32"/>
                <w:szCs w:val="32"/>
              </w:rPr>
            </w:pPr>
            <w:r>
              <w:rPr>
                <w:rFonts w:hint="eastAsia" w:ascii="黑体" w:hAnsi="黑体" w:eastAsia="黑体" w:cs="黑体"/>
                <w:sz w:val="32"/>
                <w:szCs w:val="32"/>
              </w:rPr>
              <w:t>试点县(市、区)</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Layout w:type="fixed"/>
          <w:tblCellMar>
            <w:top w:w="45" w:type="dxa"/>
            <w:left w:w="45" w:type="dxa"/>
            <w:bottom w:w="45" w:type="dxa"/>
            <w:right w:w="45" w:type="dxa"/>
          </w:tblCellMar>
        </w:tblPrEx>
        <w:tc>
          <w:tcPr>
            <w:tcW w:w="231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天津市</w:t>
            </w:r>
          </w:p>
        </w:tc>
        <w:tc>
          <w:tcPr>
            <w:tcW w:w="65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蓟县</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Layout w:type="fixed"/>
          <w:tblCellMar>
            <w:top w:w="45" w:type="dxa"/>
            <w:left w:w="45" w:type="dxa"/>
            <w:bottom w:w="45" w:type="dxa"/>
            <w:right w:w="45" w:type="dxa"/>
          </w:tblCellMar>
        </w:tblPrEx>
        <w:tc>
          <w:tcPr>
            <w:tcW w:w="231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山西省</w:t>
            </w:r>
          </w:p>
        </w:tc>
        <w:tc>
          <w:tcPr>
            <w:tcW w:w="65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晋中市榆次区</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Layout w:type="fixed"/>
          <w:tblCellMar>
            <w:top w:w="45" w:type="dxa"/>
            <w:left w:w="45" w:type="dxa"/>
            <w:bottom w:w="45" w:type="dxa"/>
            <w:right w:w="45" w:type="dxa"/>
          </w:tblCellMar>
        </w:tblPrEx>
        <w:tc>
          <w:tcPr>
            <w:tcW w:w="231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内蒙古自治区</w:t>
            </w:r>
          </w:p>
        </w:tc>
        <w:tc>
          <w:tcPr>
            <w:tcW w:w="65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和林格尔县、乌兰浩特市</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Layout w:type="fixed"/>
          <w:tblCellMar>
            <w:top w:w="45" w:type="dxa"/>
            <w:left w:w="45" w:type="dxa"/>
            <w:bottom w:w="45" w:type="dxa"/>
            <w:right w:w="45" w:type="dxa"/>
          </w:tblCellMar>
        </w:tblPrEx>
        <w:tc>
          <w:tcPr>
            <w:tcW w:w="231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辽宁省</w:t>
            </w:r>
          </w:p>
        </w:tc>
        <w:tc>
          <w:tcPr>
            <w:tcW w:w="65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铁岭县、开原市</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Layout w:type="fixed"/>
          <w:tblCellMar>
            <w:top w:w="45" w:type="dxa"/>
            <w:left w:w="45" w:type="dxa"/>
            <w:bottom w:w="45" w:type="dxa"/>
            <w:right w:w="45" w:type="dxa"/>
          </w:tblCellMar>
        </w:tblPrEx>
        <w:tc>
          <w:tcPr>
            <w:tcW w:w="231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吉林省</w:t>
            </w:r>
          </w:p>
        </w:tc>
        <w:tc>
          <w:tcPr>
            <w:tcW w:w="65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长春市九台区</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Layout w:type="fixed"/>
          <w:tblCellMar>
            <w:top w:w="45" w:type="dxa"/>
            <w:left w:w="45" w:type="dxa"/>
            <w:bottom w:w="45" w:type="dxa"/>
            <w:right w:w="45" w:type="dxa"/>
          </w:tblCellMar>
        </w:tblPrEx>
        <w:tc>
          <w:tcPr>
            <w:tcW w:w="231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黑龙江省</w:t>
            </w:r>
          </w:p>
        </w:tc>
        <w:tc>
          <w:tcPr>
            <w:tcW w:w="65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林甸县、方正县、杜尔伯特蒙古族自治县</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Layout w:type="fixed"/>
          <w:tblCellMar>
            <w:top w:w="45" w:type="dxa"/>
            <w:left w:w="45" w:type="dxa"/>
            <w:bottom w:w="45" w:type="dxa"/>
            <w:right w:w="45" w:type="dxa"/>
          </w:tblCellMar>
        </w:tblPrEx>
        <w:tc>
          <w:tcPr>
            <w:tcW w:w="231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江苏省</w:t>
            </w:r>
          </w:p>
        </w:tc>
        <w:tc>
          <w:tcPr>
            <w:tcW w:w="65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常州市武进区、仪征市、泗洪县</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Layout w:type="fixed"/>
          <w:tblCellMar>
            <w:top w:w="45" w:type="dxa"/>
            <w:left w:w="45" w:type="dxa"/>
            <w:bottom w:w="45" w:type="dxa"/>
            <w:right w:w="45" w:type="dxa"/>
          </w:tblCellMar>
        </w:tblPrEx>
        <w:tc>
          <w:tcPr>
            <w:tcW w:w="231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浙江省</w:t>
            </w:r>
          </w:p>
        </w:tc>
        <w:tc>
          <w:tcPr>
            <w:tcW w:w="65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乐清市、青田县、义乌市、瑞安市</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Layout w:type="fixed"/>
          <w:tblCellMar>
            <w:top w:w="45" w:type="dxa"/>
            <w:left w:w="45" w:type="dxa"/>
            <w:bottom w:w="45" w:type="dxa"/>
            <w:right w:w="45" w:type="dxa"/>
          </w:tblCellMar>
        </w:tblPrEx>
        <w:tc>
          <w:tcPr>
            <w:tcW w:w="231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安徽省</w:t>
            </w:r>
          </w:p>
        </w:tc>
        <w:tc>
          <w:tcPr>
            <w:tcW w:w="65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金寨县、宣城市宣州区</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Layout w:type="fixed"/>
          <w:tblCellMar>
            <w:top w:w="45" w:type="dxa"/>
            <w:left w:w="45" w:type="dxa"/>
            <w:bottom w:w="45" w:type="dxa"/>
            <w:right w:w="45" w:type="dxa"/>
          </w:tblCellMar>
        </w:tblPrEx>
        <w:tc>
          <w:tcPr>
            <w:tcW w:w="231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福建省</w:t>
            </w:r>
          </w:p>
        </w:tc>
        <w:tc>
          <w:tcPr>
            <w:tcW w:w="65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晋江市、古田县、上杭县、石狮市</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Layout w:type="fixed"/>
          <w:tblCellMar>
            <w:top w:w="45" w:type="dxa"/>
            <w:left w:w="45" w:type="dxa"/>
            <w:bottom w:w="45" w:type="dxa"/>
            <w:right w:w="45" w:type="dxa"/>
          </w:tblCellMar>
        </w:tblPrEx>
        <w:tc>
          <w:tcPr>
            <w:tcW w:w="231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江西省</w:t>
            </w:r>
          </w:p>
        </w:tc>
        <w:tc>
          <w:tcPr>
            <w:tcW w:w="65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余江县、会昌县、婺源县</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Layout w:type="fixed"/>
          <w:tblCellMar>
            <w:top w:w="45" w:type="dxa"/>
            <w:left w:w="45" w:type="dxa"/>
            <w:bottom w:w="45" w:type="dxa"/>
            <w:right w:w="45" w:type="dxa"/>
          </w:tblCellMar>
        </w:tblPrEx>
        <w:tc>
          <w:tcPr>
            <w:tcW w:w="231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山东省</w:t>
            </w:r>
          </w:p>
        </w:tc>
        <w:tc>
          <w:tcPr>
            <w:tcW w:w="65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肥城市、滕州市、汶上县</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Layout w:type="fixed"/>
          <w:tblCellMar>
            <w:top w:w="45" w:type="dxa"/>
            <w:left w:w="45" w:type="dxa"/>
            <w:bottom w:w="45" w:type="dxa"/>
            <w:right w:w="45" w:type="dxa"/>
          </w:tblCellMar>
        </w:tblPrEx>
        <w:tc>
          <w:tcPr>
            <w:tcW w:w="231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河南省</w:t>
            </w:r>
          </w:p>
        </w:tc>
        <w:tc>
          <w:tcPr>
            <w:tcW w:w="65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滑县、兰考县</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Layout w:type="fixed"/>
          <w:tblCellMar>
            <w:top w:w="45" w:type="dxa"/>
            <w:left w:w="45" w:type="dxa"/>
            <w:bottom w:w="45" w:type="dxa"/>
            <w:right w:w="45" w:type="dxa"/>
          </w:tblCellMar>
        </w:tblPrEx>
        <w:tc>
          <w:tcPr>
            <w:tcW w:w="231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湖北省</w:t>
            </w:r>
          </w:p>
        </w:tc>
        <w:tc>
          <w:tcPr>
            <w:tcW w:w="65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宜城市、武汉市江夏区</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Layout w:type="fixed"/>
          <w:tblCellMar>
            <w:top w:w="45" w:type="dxa"/>
            <w:left w:w="45" w:type="dxa"/>
            <w:bottom w:w="45" w:type="dxa"/>
            <w:right w:w="45" w:type="dxa"/>
          </w:tblCellMar>
        </w:tblPrEx>
        <w:tc>
          <w:tcPr>
            <w:tcW w:w="231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湖南省</w:t>
            </w:r>
          </w:p>
        </w:tc>
        <w:tc>
          <w:tcPr>
            <w:tcW w:w="65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浏阳市、耒阳市、麻阳苗族自治县</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Layout w:type="fixed"/>
          <w:tblCellMar>
            <w:top w:w="45" w:type="dxa"/>
            <w:left w:w="45" w:type="dxa"/>
            <w:bottom w:w="45" w:type="dxa"/>
            <w:right w:w="45" w:type="dxa"/>
          </w:tblCellMar>
        </w:tblPrEx>
        <w:tc>
          <w:tcPr>
            <w:tcW w:w="231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广东省</w:t>
            </w:r>
          </w:p>
        </w:tc>
        <w:tc>
          <w:tcPr>
            <w:tcW w:w="65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五华县、连州市</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Layout w:type="fixed"/>
          <w:tblCellMar>
            <w:top w:w="45" w:type="dxa"/>
            <w:left w:w="45" w:type="dxa"/>
            <w:bottom w:w="45" w:type="dxa"/>
            <w:right w:w="45" w:type="dxa"/>
          </w:tblCellMar>
        </w:tblPrEx>
        <w:tc>
          <w:tcPr>
            <w:tcW w:w="231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广西壮族自治区</w:t>
            </w:r>
          </w:p>
        </w:tc>
        <w:tc>
          <w:tcPr>
            <w:tcW w:w="65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田阳县</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Layout w:type="fixed"/>
          <w:tblCellMar>
            <w:top w:w="45" w:type="dxa"/>
            <w:left w:w="45" w:type="dxa"/>
            <w:bottom w:w="45" w:type="dxa"/>
            <w:right w:w="45" w:type="dxa"/>
          </w:tblCellMar>
        </w:tblPrEx>
        <w:tc>
          <w:tcPr>
            <w:tcW w:w="231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海南省</w:t>
            </w:r>
          </w:p>
        </w:tc>
        <w:tc>
          <w:tcPr>
            <w:tcW w:w="65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文昌市、琼中黎族苗族自治县</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Layout w:type="fixed"/>
          <w:tblCellMar>
            <w:top w:w="45" w:type="dxa"/>
            <w:left w:w="45" w:type="dxa"/>
            <w:bottom w:w="45" w:type="dxa"/>
            <w:right w:w="45" w:type="dxa"/>
          </w:tblCellMar>
        </w:tblPrEx>
        <w:tc>
          <w:tcPr>
            <w:tcW w:w="231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重庆市</w:t>
            </w:r>
          </w:p>
        </w:tc>
        <w:tc>
          <w:tcPr>
            <w:tcW w:w="65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江津区、开县、酉阳土家族苗族自治县</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Layout w:type="fixed"/>
          <w:tblCellMar>
            <w:top w:w="45" w:type="dxa"/>
            <w:left w:w="45" w:type="dxa"/>
            <w:bottom w:w="45" w:type="dxa"/>
            <w:right w:w="45" w:type="dxa"/>
          </w:tblCellMar>
        </w:tblPrEx>
        <w:tc>
          <w:tcPr>
            <w:tcW w:w="231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四川省</w:t>
            </w:r>
          </w:p>
        </w:tc>
        <w:tc>
          <w:tcPr>
            <w:tcW w:w="65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泸县、郫县、眉山市彭山区</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Layout w:type="fixed"/>
          <w:tblCellMar>
            <w:top w:w="45" w:type="dxa"/>
            <w:left w:w="45" w:type="dxa"/>
            <w:bottom w:w="45" w:type="dxa"/>
            <w:right w:w="45" w:type="dxa"/>
          </w:tblCellMar>
        </w:tblPrEx>
        <w:tc>
          <w:tcPr>
            <w:tcW w:w="231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贵州省</w:t>
            </w:r>
          </w:p>
        </w:tc>
        <w:tc>
          <w:tcPr>
            <w:tcW w:w="65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金沙县、湄潭县</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Layout w:type="fixed"/>
          <w:tblCellMar>
            <w:top w:w="45" w:type="dxa"/>
            <w:left w:w="45" w:type="dxa"/>
            <w:bottom w:w="45" w:type="dxa"/>
            <w:right w:w="45" w:type="dxa"/>
          </w:tblCellMar>
        </w:tblPrEx>
        <w:tc>
          <w:tcPr>
            <w:tcW w:w="231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云南省</w:t>
            </w:r>
          </w:p>
        </w:tc>
        <w:tc>
          <w:tcPr>
            <w:tcW w:w="65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大理市、丘北县、武定县</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Layout w:type="fixed"/>
          <w:tblCellMar>
            <w:top w:w="45" w:type="dxa"/>
            <w:left w:w="45" w:type="dxa"/>
            <w:bottom w:w="45" w:type="dxa"/>
            <w:right w:w="45" w:type="dxa"/>
          </w:tblCellMar>
        </w:tblPrEx>
        <w:tc>
          <w:tcPr>
            <w:tcW w:w="231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西藏自治区</w:t>
            </w:r>
          </w:p>
        </w:tc>
        <w:tc>
          <w:tcPr>
            <w:tcW w:w="65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曲水县</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Layout w:type="fixed"/>
          <w:tblCellMar>
            <w:top w:w="45" w:type="dxa"/>
            <w:left w:w="45" w:type="dxa"/>
            <w:bottom w:w="45" w:type="dxa"/>
            <w:right w:w="45" w:type="dxa"/>
          </w:tblCellMar>
        </w:tblPrEx>
        <w:tc>
          <w:tcPr>
            <w:tcW w:w="231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陕西省</w:t>
            </w:r>
          </w:p>
        </w:tc>
        <w:tc>
          <w:tcPr>
            <w:tcW w:w="65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平利县、西安市高陵区</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Layout w:type="fixed"/>
          <w:tblCellMar>
            <w:top w:w="45" w:type="dxa"/>
            <w:left w:w="45" w:type="dxa"/>
            <w:bottom w:w="45" w:type="dxa"/>
            <w:right w:w="45" w:type="dxa"/>
          </w:tblCellMar>
        </w:tblPrEx>
        <w:tc>
          <w:tcPr>
            <w:tcW w:w="231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甘肃省</w:t>
            </w:r>
          </w:p>
        </w:tc>
        <w:tc>
          <w:tcPr>
            <w:tcW w:w="65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陇西县</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Layout w:type="fixed"/>
          <w:tblCellMar>
            <w:top w:w="45" w:type="dxa"/>
            <w:left w:w="45" w:type="dxa"/>
            <w:bottom w:w="45" w:type="dxa"/>
            <w:right w:w="45" w:type="dxa"/>
          </w:tblCellMar>
        </w:tblPrEx>
        <w:tc>
          <w:tcPr>
            <w:tcW w:w="231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青海省</w:t>
            </w:r>
          </w:p>
        </w:tc>
        <w:tc>
          <w:tcPr>
            <w:tcW w:w="65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湟源县</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Layout w:type="fixed"/>
          <w:tblCellMar>
            <w:top w:w="45" w:type="dxa"/>
            <w:left w:w="45" w:type="dxa"/>
            <w:bottom w:w="45" w:type="dxa"/>
            <w:right w:w="45" w:type="dxa"/>
          </w:tblCellMar>
        </w:tblPrEx>
        <w:tc>
          <w:tcPr>
            <w:tcW w:w="231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宁夏回族自治区</w:t>
            </w:r>
          </w:p>
        </w:tc>
        <w:tc>
          <w:tcPr>
            <w:tcW w:w="65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平罗县</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Layout w:type="fixed"/>
          <w:tblCellMar>
            <w:top w:w="45" w:type="dxa"/>
            <w:left w:w="45" w:type="dxa"/>
            <w:bottom w:w="45" w:type="dxa"/>
            <w:right w:w="45" w:type="dxa"/>
          </w:tblCellMar>
        </w:tblPrEx>
        <w:tc>
          <w:tcPr>
            <w:tcW w:w="231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新疆维吾尔自治区</w:t>
            </w:r>
          </w:p>
        </w:tc>
        <w:tc>
          <w:tcPr>
            <w:tcW w:w="65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center"/>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伊宁市</w:t>
            </w:r>
          </w:p>
        </w:tc>
      </w:tr>
    </w:tbl>
    <w:p>
      <w:pPr>
        <w:spacing w:line="240" w:lineRule="auto"/>
        <w:jc w:val="both"/>
        <w:rPr>
          <w:rFonts w:ascii="宋体" w:hAnsi="宋体" w:eastAsia="宋体" w:cs="宋体"/>
          <w:sz w:val="32"/>
          <w:szCs w:val="32"/>
          <w:shd w:val="clear" w:fill="FFFFFF"/>
        </w:rPr>
      </w:pPr>
    </w:p>
    <w:p>
      <w:pPr>
        <w:spacing w:line="240" w:lineRule="auto"/>
        <w:ind w:firstLine="640"/>
        <w:jc w:val="center"/>
        <w:rPr>
          <w:rFonts w:hint="eastAsia" w:ascii="宋体" w:hAnsi="宋体" w:eastAsia="宋体" w:cs="宋体"/>
          <w:kern w:val="2"/>
          <w:sz w:val="32"/>
          <w:szCs w:val="32"/>
          <w:lang w:val="en-US" w:eastAsia="zh-CN" w:bidi="ar-SA"/>
        </w:rPr>
      </w:pPr>
      <w:r>
        <w:rPr>
          <w:rFonts w:hint="eastAsia" w:ascii="宋体" w:hAnsi="宋体" w:eastAsia="宋体" w:cs="宋体"/>
          <w:kern w:val="2"/>
          <w:sz w:val="44"/>
          <w:szCs w:val="44"/>
          <w:lang w:val="en-US" w:eastAsia="zh-CN" w:bidi="ar-SA"/>
        </w:rPr>
        <w:t>授权国务院在北京市大兴区等</w:t>
      </w:r>
      <w:r>
        <w:rPr>
          <w:rFonts w:hint="default" w:ascii="Times New Roman" w:hAnsi="Times New Roman" w:eastAsia="宋体" w:cs="Times New Roman"/>
          <w:kern w:val="2"/>
          <w:sz w:val="44"/>
          <w:szCs w:val="44"/>
          <w:lang w:val="en-US" w:eastAsia="zh-CN" w:bidi="ar-SA"/>
        </w:rPr>
        <w:t>232</w:t>
      </w:r>
      <w:r>
        <w:rPr>
          <w:rFonts w:hint="eastAsia" w:ascii="宋体" w:hAnsi="宋体" w:eastAsia="宋体" w:cs="宋体"/>
          <w:kern w:val="2"/>
          <w:sz w:val="44"/>
          <w:szCs w:val="44"/>
          <w:lang w:val="en-US" w:eastAsia="zh-CN" w:bidi="ar-SA"/>
        </w:rPr>
        <w:t>个试点县(市、区)、天津市蓟县等</w:t>
      </w:r>
      <w:r>
        <w:rPr>
          <w:rFonts w:hint="default" w:ascii="Times New Roman" w:hAnsi="Times New Roman" w:eastAsia="宋体" w:cs="Times New Roman"/>
          <w:kern w:val="2"/>
          <w:sz w:val="44"/>
          <w:szCs w:val="44"/>
          <w:lang w:val="en-US" w:eastAsia="zh-CN" w:bidi="ar-SA"/>
        </w:rPr>
        <w:t>59</w:t>
      </w:r>
      <w:r>
        <w:rPr>
          <w:rFonts w:hint="eastAsia" w:ascii="宋体" w:hAnsi="宋体" w:eastAsia="宋体" w:cs="宋体"/>
          <w:kern w:val="2"/>
          <w:sz w:val="44"/>
          <w:szCs w:val="44"/>
          <w:lang w:val="en-US" w:eastAsia="zh-CN" w:bidi="ar-SA"/>
        </w:rPr>
        <w:t>个试点县(市、区)行政区域分别暂时调整实施有关法律规定目录</w:t>
      </w:r>
    </w:p>
    <w:tbl>
      <w:tblPr>
        <w:tblStyle w:val="8"/>
        <w:tblW w:w="8835" w:type="dxa"/>
        <w:tblInd w:w="38" w:type="dxa"/>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
      <w:tblGrid>
        <w:gridCol w:w="5846"/>
        <w:gridCol w:w="11"/>
        <w:gridCol w:w="2978"/>
      </w:tblGrid>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color="auto" w:fill="auto"/>
          <w:tblLayout w:type="fixed"/>
        </w:tblPrEx>
        <w:trPr>
          <w:tblHeader/>
        </w:trPr>
        <w:tc>
          <w:tcPr>
            <w:tcW w:w="5857"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center"/>
              <w:rPr>
                <w:rFonts w:hint="eastAsia" w:ascii="黑体" w:hAnsi="黑体" w:eastAsia="黑体" w:cs="黑体"/>
                <w:i w:val="0"/>
                <w:iCs w:val="0"/>
                <w:sz w:val="32"/>
                <w:szCs w:val="32"/>
              </w:rPr>
            </w:pPr>
            <w:r>
              <w:rPr>
                <w:rFonts w:hint="eastAsia" w:ascii="黑体" w:hAnsi="黑体" w:eastAsia="黑体" w:cs="黑体"/>
                <w:i w:val="0"/>
                <w:iCs w:val="0"/>
                <w:sz w:val="32"/>
                <w:szCs w:val="32"/>
              </w:rPr>
              <w:t>法律规定</w:t>
            </w:r>
          </w:p>
        </w:tc>
        <w:tc>
          <w:tcPr>
            <w:tcW w:w="297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center"/>
              <w:rPr>
                <w:rFonts w:hint="eastAsia" w:ascii="黑体" w:hAnsi="黑体" w:eastAsia="黑体" w:cs="黑体"/>
                <w:i w:val="0"/>
                <w:iCs w:val="0"/>
                <w:sz w:val="32"/>
                <w:szCs w:val="32"/>
              </w:rPr>
            </w:pPr>
            <w:r>
              <w:rPr>
                <w:rFonts w:hint="eastAsia" w:ascii="黑体" w:hAnsi="黑体" w:eastAsia="黑体" w:cs="黑体"/>
                <w:i w:val="0"/>
                <w:iCs w:val="0"/>
                <w:sz w:val="32"/>
                <w:szCs w:val="32"/>
              </w:rPr>
              <w:t>内容</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Layout w:type="fixed"/>
        </w:tblPrEx>
        <w:tc>
          <w:tcPr>
            <w:tcW w:w="5857"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left"/>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w:t>
            </w:r>
            <w:r>
              <w:rPr>
                <w:rFonts w:hint="eastAsia" w:ascii="仿宋_GB2312" w:hAnsi="仿宋_GB2312" w:eastAsia="仿宋_GB2312" w:cs="仿宋_GB2312"/>
                <w:kern w:val="2"/>
                <w:sz w:val="32"/>
                <w:szCs w:val="24"/>
                <w:lang w:val="en-US" w:eastAsia="zh-CN" w:bidi="ar-SA"/>
              </w:rPr>
              <w:fldChar w:fldCharType="begin"/>
            </w:r>
            <w:r>
              <w:rPr>
                <w:rFonts w:hint="eastAsia" w:ascii="仿宋_GB2312" w:hAnsi="仿宋_GB2312" w:eastAsia="仿宋_GB2312" w:cs="仿宋_GB2312"/>
                <w:kern w:val="2"/>
                <w:sz w:val="32"/>
                <w:szCs w:val="24"/>
                <w:lang w:val="en-US" w:eastAsia="zh-CN" w:bidi="ar-SA"/>
              </w:rPr>
              <w:instrText xml:space="preserve"> HYPERLINK "http://fagui.pkulaw.cn:18080/javascript:SLC(89386,0)" </w:instrText>
            </w:r>
            <w:r>
              <w:rPr>
                <w:rFonts w:hint="eastAsia" w:ascii="仿宋_GB2312" w:hAnsi="仿宋_GB2312" w:eastAsia="仿宋_GB2312" w:cs="仿宋_GB2312"/>
                <w:kern w:val="2"/>
                <w:sz w:val="32"/>
                <w:szCs w:val="24"/>
                <w:lang w:val="en-US" w:eastAsia="zh-CN" w:bidi="ar-SA"/>
              </w:rPr>
              <w:fldChar w:fldCharType="separate"/>
            </w:r>
            <w:r>
              <w:rPr>
                <w:rFonts w:hint="eastAsia" w:ascii="仿宋_GB2312" w:hAnsi="仿宋_GB2312" w:eastAsia="仿宋_GB2312" w:cs="仿宋_GB2312"/>
                <w:kern w:val="2"/>
                <w:sz w:val="32"/>
                <w:szCs w:val="24"/>
                <w:lang w:val="en-US" w:eastAsia="zh-CN" w:bidi="ar-SA"/>
              </w:rPr>
              <w:t>中华人民共和国物权法</w:t>
            </w:r>
            <w:r>
              <w:rPr>
                <w:rFonts w:hint="eastAsia" w:ascii="仿宋_GB2312" w:hAnsi="仿宋_GB2312" w:eastAsia="仿宋_GB2312" w:cs="仿宋_GB2312"/>
                <w:kern w:val="2"/>
                <w:sz w:val="32"/>
                <w:szCs w:val="24"/>
                <w:lang w:val="en-US" w:eastAsia="zh-CN" w:bidi="ar-SA"/>
              </w:rPr>
              <w:fldChar w:fldCharType="end"/>
            </w:r>
            <w:r>
              <w:rPr>
                <w:rFonts w:hint="eastAsia" w:ascii="仿宋_GB2312" w:hAnsi="仿宋_GB2312" w:eastAsia="仿宋_GB2312" w:cs="仿宋_GB2312"/>
                <w:kern w:val="2"/>
                <w:sz w:val="32"/>
                <w:szCs w:val="24"/>
                <w:lang w:val="en-US" w:eastAsia="zh-CN" w:bidi="ar-SA"/>
              </w:rPr>
              <w:t>》第</w:t>
            </w:r>
            <w:r>
              <w:rPr>
                <w:rFonts w:hint="eastAsia" w:ascii="仿宋_GB2312" w:hAnsi="仿宋_GB2312" w:eastAsia="仿宋_GB2312" w:cs="仿宋_GB2312"/>
                <w:kern w:val="2"/>
                <w:sz w:val="32"/>
                <w:szCs w:val="24"/>
                <w:lang w:val="en-US" w:eastAsia="zh-CN" w:bidi="ar-SA"/>
              </w:rPr>
              <w:fldChar w:fldCharType="begin"/>
            </w:r>
            <w:r>
              <w:rPr>
                <w:rFonts w:hint="eastAsia" w:ascii="仿宋_GB2312" w:hAnsi="仿宋_GB2312" w:eastAsia="仿宋_GB2312" w:cs="仿宋_GB2312"/>
                <w:kern w:val="2"/>
                <w:sz w:val="32"/>
                <w:szCs w:val="24"/>
                <w:lang w:val="en-US" w:eastAsia="zh-CN" w:bidi="ar-SA"/>
              </w:rPr>
              <w:instrText xml:space="preserve"> HYPERLINK "http://fagui.pkulaw.cn:18080/javascript:SLC(89386,184)" </w:instrText>
            </w:r>
            <w:r>
              <w:rPr>
                <w:rFonts w:hint="eastAsia" w:ascii="仿宋_GB2312" w:hAnsi="仿宋_GB2312" w:eastAsia="仿宋_GB2312" w:cs="仿宋_GB2312"/>
                <w:kern w:val="2"/>
                <w:sz w:val="32"/>
                <w:szCs w:val="24"/>
                <w:lang w:val="en-US" w:eastAsia="zh-CN" w:bidi="ar-SA"/>
              </w:rPr>
              <w:fldChar w:fldCharType="separate"/>
            </w:r>
            <w:r>
              <w:rPr>
                <w:rFonts w:hint="eastAsia" w:ascii="仿宋_GB2312" w:hAnsi="仿宋_GB2312" w:eastAsia="仿宋_GB2312" w:cs="仿宋_GB2312"/>
                <w:kern w:val="2"/>
                <w:sz w:val="32"/>
                <w:szCs w:val="24"/>
                <w:lang w:val="en-US" w:eastAsia="zh-CN" w:bidi="ar-SA"/>
              </w:rPr>
              <w:t>一百八十四条</w:t>
            </w:r>
            <w:r>
              <w:rPr>
                <w:rFonts w:hint="eastAsia" w:ascii="仿宋_GB2312" w:hAnsi="仿宋_GB2312" w:eastAsia="仿宋_GB2312" w:cs="仿宋_GB2312"/>
                <w:kern w:val="2"/>
                <w:sz w:val="32"/>
                <w:szCs w:val="24"/>
                <w:lang w:val="en-US" w:eastAsia="zh-CN" w:bidi="ar-SA"/>
              </w:rPr>
              <w:fldChar w:fldCharType="end"/>
            </w:r>
            <w:r>
              <w:rPr>
                <w:rFonts w:hint="eastAsia" w:ascii="仿宋_GB2312" w:hAnsi="仿宋_GB2312" w:eastAsia="仿宋_GB2312" w:cs="仿宋_GB2312"/>
                <w:kern w:val="2"/>
                <w:sz w:val="32"/>
                <w:szCs w:val="24"/>
                <w:lang w:val="en-US" w:eastAsia="zh-CN" w:bidi="ar-SA"/>
              </w:rPr>
              <w:t>：“下列财产不得抵押：</w:t>
            </w:r>
          </w:p>
          <w:p>
            <w:pPr>
              <w:pStyle w:val="4"/>
              <w:keepNext w:val="0"/>
              <w:keepLines w:val="0"/>
              <w:widowControl/>
              <w:suppressLineNumbers w:val="0"/>
              <w:jc w:val="left"/>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(一)土地所有权；</w:t>
            </w:r>
          </w:p>
          <w:p>
            <w:pPr>
              <w:pStyle w:val="4"/>
              <w:keepNext w:val="0"/>
              <w:keepLines w:val="0"/>
              <w:widowControl/>
              <w:suppressLineNumbers w:val="0"/>
              <w:jc w:val="left"/>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(二)耕地、宅基地、自留地、自留山等集体所有的土地使用权，但法律规定可以抵押的除外；</w:t>
            </w:r>
          </w:p>
          <w:p>
            <w:pPr>
              <w:pStyle w:val="4"/>
              <w:keepNext w:val="0"/>
              <w:keepLines w:val="0"/>
              <w:widowControl/>
              <w:suppressLineNumbers w:val="0"/>
              <w:jc w:val="left"/>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(三)学校、幼儿园、医院等以公益为目的的事业单位、社会团体的教育设施、医疗卫生设施和其他社会公益设施；</w:t>
            </w:r>
          </w:p>
          <w:p>
            <w:pPr>
              <w:pStyle w:val="4"/>
              <w:keepNext w:val="0"/>
              <w:keepLines w:val="0"/>
              <w:widowControl/>
              <w:suppressLineNumbers w:val="0"/>
              <w:jc w:val="left"/>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(四)所有权、使用权不明或者有争议的财产；</w:t>
            </w:r>
          </w:p>
          <w:p>
            <w:pPr>
              <w:pStyle w:val="4"/>
              <w:keepNext w:val="0"/>
              <w:keepLines w:val="0"/>
              <w:widowControl/>
              <w:suppressLineNumbers w:val="0"/>
              <w:jc w:val="left"/>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(五)依法被查封、扣押、监管的财产；</w:t>
            </w:r>
          </w:p>
          <w:p>
            <w:pPr>
              <w:pStyle w:val="4"/>
              <w:keepNext w:val="0"/>
              <w:keepLines w:val="0"/>
              <w:widowControl/>
              <w:suppressLineNumbers w:val="0"/>
              <w:jc w:val="left"/>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(六)法律、行政法规规定不得抵押的其他财产。”</w:t>
            </w:r>
          </w:p>
          <w:p>
            <w:pPr>
              <w:pStyle w:val="4"/>
              <w:keepNext w:val="0"/>
              <w:keepLines w:val="0"/>
              <w:widowControl/>
              <w:suppressLineNumbers w:val="0"/>
              <w:jc w:val="left"/>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w:t>
            </w:r>
            <w:r>
              <w:rPr>
                <w:rFonts w:hint="eastAsia" w:ascii="仿宋_GB2312" w:hAnsi="仿宋_GB2312" w:eastAsia="仿宋_GB2312" w:cs="仿宋_GB2312"/>
                <w:kern w:val="2"/>
                <w:sz w:val="32"/>
                <w:szCs w:val="24"/>
                <w:lang w:val="en-US" w:eastAsia="zh-CN" w:bidi="ar-SA"/>
              </w:rPr>
              <w:fldChar w:fldCharType="begin"/>
            </w:r>
            <w:r>
              <w:rPr>
                <w:rFonts w:hint="eastAsia" w:ascii="仿宋_GB2312" w:hAnsi="仿宋_GB2312" w:eastAsia="仿宋_GB2312" w:cs="仿宋_GB2312"/>
                <w:kern w:val="2"/>
                <w:sz w:val="32"/>
                <w:szCs w:val="24"/>
                <w:lang w:val="en-US" w:eastAsia="zh-CN" w:bidi="ar-SA"/>
              </w:rPr>
              <w:instrText xml:space="preserve"> HYPERLINK "http://fagui.pkulaw.cn:18080/javascript:SLC(12418,0)" </w:instrText>
            </w:r>
            <w:r>
              <w:rPr>
                <w:rFonts w:hint="eastAsia" w:ascii="仿宋_GB2312" w:hAnsi="仿宋_GB2312" w:eastAsia="仿宋_GB2312" w:cs="仿宋_GB2312"/>
                <w:kern w:val="2"/>
                <w:sz w:val="32"/>
                <w:szCs w:val="24"/>
                <w:lang w:val="en-US" w:eastAsia="zh-CN" w:bidi="ar-SA"/>
              </w:rPr>
              <w:fldChar w:fldCharType="separate"/>
            </w:r>
            <w:r>
              <w:rPr>
                <w:rFonts w:hint="eastAsia" w:ascii="仿宋_GB2312" w:hAnsi="仿宋_GB2312" w:eastAsia="仿宋_GB2312" w:cs="仿宋_GB2312"/>
                <w:kern w:val="2"/>
                <w:sz w:val="32"/>
                <w:szCs w:val="24"/>
                <w:lang w:val="en-US" w:eastAsia="zh-CN" w:bidi="ar-SA"/>
              </w:rPr>
              <w:t>中华人民共和国担保法</w:t>
            </w:r>
            <w:r>
              <w:rPr>
                <w:rFonts w:hint="eastAsia" w:ascii="仿宋_GB2312" w:hAnsi="仿宋_GB2312" w:eastAsia="仿宋_GB2312" w:cs="仿宋_GB2312"/>
                <w:kern w:val="2"/>
                <w:sz w:val="32"/>
                <w:szCs w:val="24"/>
                <w:lang w:val="en-US" w:eastAsia="zh-CN" w:bidi="ar-SA"/>
              </w:rPr>
              <w:fldChar w:fldCharType="end"/>
            </w:r>
            <w:r>
              <w:rPr>
                <w:rFonts w:hint="eastAsia" w:ascii="仿宋_GB2312" w:hAnsi="仿宋_GB2312" w:eastAsia="仿宋_GB2312" w:cs="仿宋_GB2312"/>
                <w:kern w:val="2"/>
                <w:sz w:val="32"/>
                <w:szCs w:val="24"/>
                <w:lang w:val="en-US" w:eastAsia="zh-CN" w:bidi="ar-SA"/>
              </w:rPr>
              <w:t>》第</w:t>
            </w:r>
            <w:r>
              <w:rPr>
                <w:rFonts w:hint="eastAsia" w:ascii="仿宋_GB2312" w:hAnsi="仿宋_GB2312" w:eastAsia="仿宋_GB2312" w:cs="仿宋_GB2312"/>
                <w:kern w:val="2"/>
                <w:sz w:val="32"/>
                <w:szCs w:val="24"/>
                <w:lang w:val="en-US" w:eastAsia="zh-CN" w:bidi="ar-SA"/>
              </w:rPr>
              <w:fldChar w:fldCharType="begin"/>
            </w:r>
            <w:r>
              <w:rPr>
                <w:rFonts w:hint="eastAsia" w:ascii="仿宋_GB2312" w:hAnsi="仿宋_GB2312" w:eastAsia="仿宋_GB2312" w:cs="仿宋_GB2312"/>
                <w:kern w:val="2"/>
                <w:sz w:val="32"/>
                <w:szCs w:val="24"/>
                <w:lang w:val="en-US" w:eastAsia="zh-CN" w:bidi="ar-SA"/>
              </w:rPr>
              <w:instrText xml:space="preserve"> HYPERLINK "http://fagui.pkulaw.cn:18080/javascript:SLC(12418,37)" </w:instrText>
            </w:r>
            <w:r>
              <w:rPr>
                <w:rFonts w:hint="eastAsia" w:ascii="仿宋_GB2312" w:hAnsi="仿宋_GB2312" w:eastAsia="仿宋_GB2312" w:cs="仿宋_GB2312"/>
                <w:kern w:val="2"/>
                <w:sz w:val="32"/>
                <w:szCs w:val="24"/>
                <w:lang w:val="en-US" w:eastAsia="zh-CN" w:bidi="ar-SA"/>
              </w:rPr>
              <w:fldChar w:fldCharType="separate"/>
            </w:r>
            <w:r>
              <w:rPr>
                <w:rFonts w:hint="eastAsia" w:ascii="仿宋_GB2312" w:hAnsi="仿宋_GB2312" w:eastAsia="仿宋_GB2312" w:cs="仿宋_GB2312"/>
                <w:kern w:val="2"/>
                <w:sz w:val="32"/>
                <w:szCs w:val="24"/>
                <w:lang w:val="en-US" w:eastAsia="zh-CN" w:bidi="ar-SA"/>
              </w:rPr>
              <w:t>三十七条</w:t>
            </w:r>
            <w:r>
              <w:rPr>
                <w:rFonts w:hint="eastAsia" w:ascii="仿宋_GB2312" w:hAnsi="仿宋_GB2312" w:eastAsia="仿宋_GB2312" w:cs="仿宋_GB2312"/>
                <w:kern w:val="2"/>
                <w:sz w:val="32"/>
                <w:szCs w:val="24"/>
                <w:lang w:val="en-US" w:eastAsia="zh-CN" w:bidi="ar-SA"/>
              </w:rPr>
              <w:fldChar w:fldCharType="end"/>
            </w:r>
            <w:r>
              <w:rPr>
                <w:rFonts w:hint="eastAsia" w:ascii="仿宋_GB2312" w:hAnsi="仿宋_GB2312" w:eastAsia="仿宋_GB2312" w:cs="仿宋_GB2312"/>
                <w:kern w:val="2"/>
                <w:sz w:val="32"/>
                <w:szCs w:val="24"/>
                <w:lang w:val="en-US" w:eastAsia="zh-CN" w:bidi="ar-SA"/>
              </w:rPr>
              <w:t>：“下列财产不得抵押：</w:t>
            </w:r>
          </w:p>
        </w:tc>
        <w:tc>
          <w:tcPr>
            <w:tcW w:w="297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left"/>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暂时调整实施集体所有的耕地使用权、宅基地使用权不得抵押的规定。在防范风险、遵守有关法律法规和农村土地制度改革等政策的基础上，赋予农村承包土地(指耕地)的经营权和农民住房财产权(含宅基地使用权)抵押融资功能，在农村承包土地的经营权抵押贷款</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Layout w:type="fixed"/>
        </w:tblPrEx>
        <w:tc>
          <w:tcPr>
            <w:tcW w:w="584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left"/>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(一)土地所有权；</w:t>
            </w:r>
          </w:p>
          <w:p>
            <w:pPr>
              <w:pStyle w:val="4"/>
              <w:keepNext w:val="0"/>
              <w:keepLines w:val="0"/>
              <w:widowControl/>
              <w:suppressLineNumbers w:val="0"/>
              <w:jc w:val="left"/>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(二)耕地、宅基地、自留地、自留山等集体所有的土地使用权，但本法第三十四条第(五)项、第三十六条第三款规定的除外；</w:t>
            </w:r>
          </w:p>
          <w:p>
            <w:pPr>
              <w:pStyle w:val="4"/>
              <w:keepNext w:val="0"/>
              <w:keepLines w:val="0"/>
              <w:widowControl/>
              <w:suppressLineNumbers w:val="0"/>
              <w:jc w:val="left"/>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(三)学校、幼儿园、医院等以公益为目的的事业单位、社会团体的教育设施、医疗卫生设施和其他社会公益设施；</w:t>
            </w:r>
          </w:p>
          <w:p>
            <w:pPr>
              <w:pStyle w:val="4"/>
              <w:keepNext w:val="0"/>
              <w:keepLines w:val="0"/>
              <w:widowControl/>
              <w:suppressLineNumbers w:val="0"/>
              <w:jc w:val="left"/>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(四)所有权、使用权不明或者有争议的财产；</w:t>
            </w:r>
          </w:p>
          <w:p>
            <w:pPr>
              <w:pStyle w:val="4"/>
              <w:keepNext w:val="0"/>
              <w:keepLines w:val="0"/>
              <w:widowControl/>
              <w:suppressLineNumbers w:val="0"/>
              <w:jc w:val="left"/>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(五)依法被查封、扣押、监管的财产；</w:t>
            </w:r>
          </w:p>
          <w:p>
            <w:pPr>
              <w:pStyle w:val="4"/>
              <w:keepNext w:val="0"/>
              <w:keepLines w:val="0"/>
              <w:widowControl/>
              <w:suppressLineNumbers w:val="0"/>
              <w:jc w:val="left"/>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(六)依法不得抵押的其他财产。”</w:t>
            </w:r>
          </w:p>
        </w:tc>
        <w:tc>
          <w:tcPr>
            <w:tcW w:w="2989"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jc w:val="left"/>
              <w:rPr>
                <w:rFonts w:hint="eastAsia" w:ascii="仿宋_GB2312" w:hAnsi="仿宋_GB2312" w:eastAsia="仿宋_GB2312" w:cs="仿宋_GB2312"/>
                <w:kern w:val="2"/>
                <w:sz w:val="32"/>
                <w:szCs w:val="24"/>
                <w:lang w:val="en-US" w:eastAsia="zh-CN" w:bidi="ar-SA"/>
              </w:rPr>
            </w:pPr>
            <w:r>
              <w:rPr>
                <w:rFonts w:hint="eastAsia" w:ascii="仿宋_GB2312" w:hAnsi="仿宋_GB2312" w:eastAsia="仿宋_GB2312" w:cs="仿宋_GB2312"/>
                <w:kern w:val="2"/>
                <w:sz w:val="32"/>
                <w:szCs w:val="24"/>
                <w:lang w:val="en-US" w:eastAsia="zh-CN" w:bidi="ar-SA"/>
              </w:rPr>
              <w:t>试点地区，允许以农村承包土地的经营权抵押贷款；在农民住房财产权抵押贷款试点地区，允许以农民住房财产权抵押贷款。</w:t>
            </w:r>
          </w:p>
        </w:tc>
      </w:tr>
    </w:tbl>
    <w:p>
      <w:pPr>
        <w:spacing w:line="240" w:lineRule="auto"/>
        <w:ind w:firstLine="640"/>
        <w:jc w:val="both"/>
        <w:rPr>
          <w:rFonts w:ascii="宋体" w:hAnsi="宋体" w:eastAsia="宋体" w:cs="宋体"/>
          <w:sz w:val="24"/>
          <w:szCs w:val="24"/>
          <w:shd w:val="clear" w:fill="FFFFFF"/>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NotTrackMoves/>
  <w:documentProtection w:enforcement="0"/>
  <w:defaultTabStop w:val="420"/>
  <w:evenAndOddHeaders w:val="1"/>
  <w:drawingGridHorizontalSpacing w:val="158"/>
  <w:drawingGridVerticalSpacing w:val="579"/>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E6E2329"/>
    <w:rsid w:val="209948E9"/>
    <w:rsid w:val="340F6C89"/>
    <w:rsid w:val="3A3F36D2"/>
    <w:rsid w:val="3B7817D7"/>
    <w:rsid w:val="441D45BA"/>
    <w:rsid w:val="4C626101"/>
    <w:rsid w:val="4D3A291B"/>
    <w:rsid w:val="4E7B5625"/>
    <w:rsid w:val="4FCD03F8"/>
    <w:rsid w:val="563B361C"/>
    <w:rsid w:val="6FBB79DB"/>
    <w:rsid w:val="76D8277C"/>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FollowedHyperlink"/>
    <w:semiHidden/>
    <w:unhideWhenUsed/>
    <w:qFormat/>
    <w:uiPriority w:val="99"/>
    <w:rPr>
      <w:color w:val="954F72"/>
      <w:u w:val="single"/>
    </w:rPr>
  </w:style>
  <w:style w:type="character" w:styleId="7">
    <w:name w:val="Hyperlink"/>
    <w:basedOn w:val="5"/>
    <w:qFormat/>
    <w:uiPriority w:val="99"/>
    <w:rPr>
      <w:rFonts w:hint="default" w:ascii="ˎ̥" w:hAnsi="ˎ̥"/>
      <w:color w:val="0404B3"/>
      <w:sz w:val="18"/>
      <w:szCs w:val="18"/>
      <w:u w:val="none"/>
    </w:rPr>
  </w:style>
  <w:style w:type="character" w:customStyle="1" w:styleId="9">
    <w:name w:val="页眉 字符"/>
    <w:link w:val="3"/>
    <w:qFormat/>
    <w:uiPriority w:val="99"/>
    <w:rPr>
      <w:sz w:val="18"/>
      <w:szCs w:val="18"/>
    </w:rPr>
  </w:style>
  <w:style w:type="character" w:customStyle="1" w:styleId="10">
    <w:name w:val="页脚 字符"/>
    <w:link w:val="2"/>
    <w:qFormat/>
    <w:uiPriority w:val="99"/>
    <w:rPr>
      <w:sz w:val="18"/>
      <w:szCs w:val="18"/>
    </w:rPr>
  </w:style>
  <w:style w:type="character" w:customStyle="1" w:styleId="11">
    <w:name w:val="font_fulltext1"/>
    <w:basedOn w:val="5"/>
    <w:qFormat/>
    <w:uiPriority w:val="0"/>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10</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2021-02-19T01:11:23Z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