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全国人民代表大会常务委员会关于授权国务院在河北省邯郸市等</w:t>
      </w:r>
      <w:r>
        <w:rPr>
          <w:rFonts w:hint="eastAsia" w:ascii="宋体" w:hAnsi="宋体" w:eastAsia="宋体" w:cs="Arial"/>
          <w:bCs/>
          <w:sz w:val="44"/>
          <w:szCs w:val="44"/>
          <w:lang w:eastAsia="zh-CN"/>
        </w:rPr>
        <w:t>十二</w:t>
      </w:r>
      <w:r>
        <w:rPr>
          <w:rFonts w:hint="eastAsia" w:ascii="宋体" w:hAnsi="宋体" w:eastAsia="宋体" w:cs="Arial"/>
          <w:bCs/>
          <w:sz w:val="44"/>
          <w:szCs w:val="44"/>
        </w:rPr>
        <w:t>个试点城市行政区域暂时调整适用《中</w:t>
      </w:r>
      <w:bookmarkStart w:id="2" w:name="_GoBack"/>
      <w:bookmarkEnd w:id="2"/>
      <w:r>
        <w:rPr>
          <w:rFonts w:hint="eastAsia" w:ascii="宋体" w:hAnsi="宋体" w:eastAsia="宋体" w:cs="Arial"/>
          <w:bCs/>
          <w:sz w:val="44"/>
          <w:szCs w:val="44"/>
        </w:rPr>
        <w:t>华人民共和国社会保险法》有关规定的决定</w:t>
      </w:r>
    </w:p>
    <w:p>
      <w:pPr>
        <w:ind w:right="632" w:rightChars="200"/>
        <w:rPr>
          <w:rFonts w:ascii="宋体" w:hAnsi="宋体" w:eastAsia="宋体" w:cs="Arial"/>
          <w:bCs/>
          <w:szCs w:val="32"/>
        </w:rPr>
      </w:pPr>
      <w:bookmarkStart w:id="0" w:name="AddRun"/>
    </w:p>
    <w:bookmarkEnd w:id="0"/>
    <w:p>
      <w:pPr>
        <w:ind w:left="632" w:leftChars="200" w:right="632" w:rightChars="200"/>
        <w:rPr>
          <w:rFonts w:hint="eastAsia" w:ascii="宋体" w:hAnsi="宋体" w:eastAsia="宋体" w:cs="Arial"/>
          <w:bCs/>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25</w:t>
      </w:r>
      <w:r>
        <w:rPr>
          <w:rFonts w:hint="eastAsia" w:ascii="楷体_GB2312" w:hAnsi="Arial" w:eastAsia="楷体_GB2312" w:cs="Arial"/>
          <w:szCs w:val="32"/>
        </w:rPr>
        <w:t>日第十二届全国人民代表大会常务委员会第二十五次会议通过）</w:t>
      </w:r>
      <w:bookmarkEnd w:id="1"/>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进一步增强生育保险保障功能，提高社会保险基金共济能力，推进生育保险和基本医疗保险合并实施改革，第十二届全国人民代表大会常务委员会第二十五次会议决定：授权国务院在河北省邯郸市、山西省晋中市、辽宁省沈阳市、江苏省泰州市、安徽省合肥市、山东省威海市、河南省郑州市、湖南省岳阳市、广东省珠海市、重庆市、四川省内江市、云南省昆明市行政区域暂时调整适用《中华人民共和国社会保险法》第六十四条、第六十六条关于生育保险基金单独建账、核算以及编制预算的规定（目录附后），将生育保险基金并入职工基本医疗保险基金征缴和管理。试点方案由国务院作出安排，并报全国人民代表大会常务委员会备案。本决定实施期限为二年。</w:t>
      </w:r>
    </w:p>
    <w:p>
      <w:pPr>
        <w:spacing w:line="240" w:lineRule="auto"/>
        <w:ind w:firstLine="640"/>
        <w:jc w:val="both"/>
      </w:pPr>
      <w:r>
        <w:rPr>
          <w:rFonts w:ascii="仿宋_GB2312" w:hAnsi="仿宋_GB2312" w:eastAsia="仿宋_GB2312" w:cs="仿宋_GB2312"/>
          <w:sz w:val="32"/>
        </w:rPr>
        <w:t>国务院及其人力资源社会保障、财政、卫生计生等部门要遵循保留险种、保障待遇、统一管理、降低成本的总体思路，加强对试点工作的组织指导和监督检查，及时总结经验，并就暂时调整适用有关法律规定的情况向全国人民代表大会常务委员会作出报告。对实践证明可行的，修改完善有关法律规定；对实践证明不宜调整的，恢复施行有关法律规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本决定自</w:t>
      </w:r>
      <w:r>
        <w:rPr>
          <w:rFonts w:hint="default" w:ascii="Times New Roman" w:hAnsi="Times New Roman" w:eastAsia="仿宋_GB2312" w:cs="Times New Roman"/>
          <w:sz w:val="32"/>
        </w:rPr>
        <w:t>2017</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p>
      <w:pPr>
        <w:spacing w:line="240" w:lineRule="auto"/>
        <w:jc w:val="both"/>
        <w:rPr>
          <w:rFonts w:hint="eastAsia" w:ascii="宋体" w:hAnsi="宋体" w:eastAsia="宋体" w:cs="宋体"/>
          <w:sz w:val="32"/>
        </w:rPr>
      </w:pPr>
    </w:p>
    <w:p>
      <w:pPr>
        <w:spacing w:line="240" w:lineRule="auto"/>
        <w:ind w:firstLine="640"/>
        <w:jc w:val="center"/>
        <w:rPr>
          <w:rFonts w:hint="eastAsia" w:ascii="宋体" w:hAnsi="宋体" w:eastAsia="宋体" w:cs="宋体"/>
          <w:sz w:val="44"/>
          <w:szCs w:val="44"/>
        </w:rPr>
      </w:pPr>
      <w:r>
        <w:rPr>
          <w:rFonts w:hint="eastAsia" w:ascii="宋体" w:hAnsi="宋体" w:eastAsia="宋体" w:cs="宋体"/>
          <w:sz w:val="44"/>
          <w:szCs w:val="44"/>
        </w:rPr>
        <w:t>授权国务院在河北省邯郸市等</w:t>
      </w:r>
      <w:r>
        <w:rPr>
          <w:rFonts w:hint="default" w:ascii="Times New Roman" w:hAnsi="Times New Roman" w:eastAsia="宋体" w:cs="Times New Roman"/>
          <w:sz w:val="44"/>
          <w:szCs w:val="44"/>
        </w:rPr>
        <w:t>12</w:t>
      </w:r>
      <w:r>
        <w:rPr>
          <w:rFonts w:hint="eastAsia" w:ascii="宋体" w:hAnsi="宋体" w:eastAsia="宋体" w:cs="宋体"/>
          <w:sz w:val="44"/>
          <w:szCs w:val="44"/>
        </w:rPr>
        <w:t>个试点城市行政区域暂时调整适用《中华人民共和国社会保险法》有关规定目录</w:t>
      </w:r>
    </w:p>
    <w:tbl>
      <w:tblPr>
        <w:tblStyle w:val="8"/>
        <w:tblW w:w="8698" w:type="dxa"/>
        <w:tblInd w:w="1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5"/>
        <w:gridCol w:w="15"/>
        <w:gridCol w:w="4602"/>
        <w:gridCol w:w="2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spacing w:line="240" w:lineRule="auto"/>
              <w:jc w:val="center"/>
              <w:rPr>
                <w:rFonts w:hint="eastAsia" w:ascii="黑体" w:hAnsi="黑体" w:eastAsia="黑体" w:cs="黑体"/>
                <w:sz w:val="32"/>
                <w:lang w:val="en-US" w:eastAsia="zh-CN"/>
              </w:rPr>
            </w:pPr>
            <w:r>
              <w:rPr>
                <w:rFonts w:hint="eastAsia" w:ascii="黑体" w:hAnsi="黑体" w:eastAsia="黑体" w:cs="黑体"/>
                <w:sz w:val="32"/>
                <w:lang w:val="en-US" w:eastAsia="zh-CN"/>
              </w:rPr>
              <w:t>序号</w:t>
            </w:r>
          </w:p>
        </w:tc>
        <w:tc>
          <w:tcPr>
            <w:tcW w:w="4617" w:type="dxa"/>
            <w:gridSpan w:val="2"/>
          </w:tcPr>
          <w:p>
            <w:pPr>
              <w:spacing w:line="240" w:lineRule="auto"/>
              <w:jc w:val="center"/>
              <w:rPr>
                <w:rFonts w:hint="eastAsia" w:ascii="黑体" w:hAnsi="黑体" w:eastAsia="黑体" w:cs="黑体"/>
                <w:sz w:val="32"/>
                <w:lang w:val="en-US" w:eastAsia="zh-CN"/>
              </w:rPr>
            </w:pPr>
            <w:r>
              <w:rPr>
                <w:rFonts w:hint="eastAsia" w:ascii="黑体" w:hAnsi="黑体" w:eastAsia="黑体" w:cs="黑体"/>
                <w:sz w:val="32"/>
                <w:lang w:val="en-US" w:eastAsia="zh-CN"/>
              </w:rPr>
              <w:t>法律规定</w:t>
            </w:r>
          </w:p>
        </w:tc>
        <w:tc>
          <w:tcPr>
            <w:tcW w:w="2446" w:type="dxa"/>
          </w:tcPr>
          <w:p>
            <w:pPr>
              <w:spacing w:line="240" w:lineRule="auto"/>
              <w:jc w:val="center"/>
              <w:rPr>
                <w:rFonts w:hint="eastAsia" w:ascii="黑体" w:hAnsi="黑体" w:eastAsia="黑体" w:cs="黑体"/>
                <w:sz w:val="32"/>
                <w:lang w:val="en-US" w:eastAsia="zh-CN"/>
              </w:rPr>
            </w:pPr>
            <w:r>
              <w:rPr>
                <w:rFonts w:hint="eastAsia" w:ascii="黑体" w:hAnsi="黑体" w:eastAsia="黑体" w:cs="黑体"/>
                <w:sz w:val="32"/>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2" w:hRule="atLeast"/>
        </w:trPr>
        <w:tc>
          <w:tcPr>
            <w:tcW w:w="1635" w:type="dxa"/>
            <w:vAlign w:val="center"/>
          </w:tcPr>
          <w:p>
            <w:pPr>
              <w:spacing w:line="240" w:lineRule="auto"/>
              <w:ind w:firstLine="640"/>
              <w:jc w:val="both"/>
              <w:rPr>
                <w:rFonts w:hint="default"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1</w:t>
            </w:r>
          </w:p>
        </w:tc>
        <w:tc>
          <w:tcPr>
            <w:tcW w:w="4617" w:type="dxa"/>
            <w:gridSpan w:val="2"/>
            <w:vAlign w:val="center"/>
          </w:tcPr>
          <w:p>
            <w:pPr>
              <w:spacing w:line="240" w:lineRule="auto"/>
              <w:ind w:firstLine="640"/>
              <w:jc w:val="both"/>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中华人民共和国社会保险法》第六十四条第一款：“社会保险基金包括基本养老保险基金、基本医疗保险基金、工伤保险基金、失业保险基金和生育保险基金。各项社会保险基金按照社会保险险种分别建账，分账核算，执行国家统一的会计制度。”</w:t>
            </w:r>
          </w:p>
        </w:tc>
        <w:tc>
          <w:tcPr>
            <w:tcW w:w="2446" w:type="dxa"/>
            <w:vAlign w:val="center"/>
          </w:tcPr>
          <w:p>
            <w:pPr>
              <w:spacing w:line="240" w:lineRule="auto"/>
              <w:ind w:firstLine="632" w:firstLineChars="200"/>
              <w:jc w:val="both"/>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暂时调整适用关于生育保险基金单独建账、核算以及编制预算的规定。将生育保险基金并入职工基本医疗保险基金征缴和管理。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0" w:type="dxa"/>
            <w:gridSpan w:val="2"/>
          </w:tcPr>
          <w:p>
            <w:pPr>
              <w:spacing w:line="240" w:lineRule="auto"/>
              <w:jc w:val="center"/>
              <w:rPr>
                <w:rFonts w:hint="eastAsia" w:ascii="黑体" w:hAnsi="黑体" w:eastAsia="黑体" w:cs="黑体"/>
                <w:sz w:val="32"/>
                <w:lang w:val="en-US" w:eastAsia="zh-CN"/>
              </w:rPr>
            </w:pPr>
            <w:r>
              <w:rPr>
                <w:rFonts w:hint="eastAsia" w:ascii="黑体" w:hAnsi="黑体" w:eastAsia="黑体" w:cs="黑体"/>
                <w:sz w:val="32"/>
                <w:lang w:val="en-US" w:eastAsia="zh-CN"/>
              </w:rPr>
              <w:t>序号</w:t>
            </w:r>
          </w:p>
        </w:tc>
        <w:tc>
          <w:tcPr>
            <w:tcW w:w="4602" w:type="dxa"/>
          </w:tcPr>
          <w:p>
            <w:pPr>
              <w:spacing w:line="240" w:lineRule="auto"/>
              <w:jc w:val="center"/>
              <w:rPr>
                <w:rFonts w:hint="eastAsia" w:ascii="黑体" w:hAnsi="黑体" w:eastAsia="黑体" w:cs="黑体"/>
                <w:sz w:val="32"/>
                <w:lang w:val="en-US" w:eastAsia="zh-CN"/>
              </w:rPr>
            </w:pPr>
            <w:r>
              <w:rPr>
                <w:rFonts w:hint="eastAsia" w:ascii="黑体" w:hAnsi="黑体" w:eastAsia="黑体" w:cs="黑体"/>
                <w:sz w:val="32"/>
                <w:lang w:val="en-US" w:eastAsia="zh-CN"/>
              </w:rPr>
              <w:t>法律规定</w:t>
            </w:r>
          </w:p>
        </w:tc>
        <w:tc>
          <w:tcPr>
            <w:tcW w:w="2446" w:type="dxa"/>
          </w:tcPr>
          <w:p>
            <w:pPr>
              <w:spacing w:line="240" w:lineRule="auto"/>
              <w:jc w:val="center"/>
              <w:rPr>
                <w:rFonts w:hint="eastAsia" w:ascii="黑体" w:hAnsi="黑体" w:eastAsia="黑体" w:cs="黑体"/>
                <w:sz w:val="32"/>
                <w:lang w:val="en-US" w:eastAsia="zh-CN"/>
              </w:rPr>
            </w:pPr>
            <w:r>
              <w:rPr>
                <w:rFonts w:hint="eastAsia" w:ascii="黑体" w:hAnsi="黑体" w:eastAsia="黑体" w:cs="黑体"/>
                <w:sz w:val="32"/>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0" w:type="dxa"/>
            <w:gridSpan w:val="2"/>
            <w:vAlign w:val="center"/>
          </w:tcPr>
          <w:p>
            <w:pPr>
              <w:spacing w:line="240" w:lineRule="auto"/>
              <w:ind w:firstLine="640"/>
              <w:jc w:val="both"/>
              <w:rPr>
                <w:rFonts w:hint="default"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2</w:t>
            </w:r>
          </w:p>
        </w:tc>
        <w:tc>
          <w:tcPr>
            <w:tcW w:w="4602" w:type="dxa"/>
            <w:vAlign w:val="center"/>
          </w:tcPr>
          <w:p>
            <w:pPr>
              <w:spacing w:line="240" w:lineRule="auto"/>
              <w:ind w:firstLine="640"/>
              <w:jc w:val="both"/>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《中华人民共和国社会保险法》第六十六条：“社会保险基金按照统筹层次设立预算。社会保险基金预算按照社会保险项目分别编制。”</w:t>
            </w:r>
          </w:p>
        </w:tc>
        <w:tc>
          <w:tcPr>
            <w:tcW w:w="2446" w:type="dxa"/>
            <w:vAlign w:val="center"/>
          </w:tcPr>
          <w:p>
            <w:pPr>
              <w:spacing w:line="240" w:lineRule="auto"/>
              <w:ind w:firstLine="640"/>
              <w:jc w:val="both"/>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暂时调整适用关于生育保险基金单独建账、核算以及编制预算的规定。将生育保险基金并入职工基本医疗保险基金征缴和管理。</w:t>
            </w:r>
          </w:p>
        </w:tc>
      </w:tr>
    </w:tbl>
    <w:p>
      <w:pPr>
        <w:spacing w:line="240" w:lineRule="auto"/>
        <w:jc w:val="both"/>
        <w:rPr>
          <w:rFonts w:hint="eastAsia" w:ascii="宋体" w:hAnsi="宋体" w:eastAsia="宋体" w:cs="宋体"/>
          <w:sz w:val="44"/>
          <w:szCs w:val="44"/>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39E1861"/>
    <w:rsid w:val="636751B9"/>
    <w:rsid w:val="637728FD"/>
    <w:rsid w:val="7151310C"/>
    <w:rsid w:val="721204BE"/>
    <w:rsid w:val="796950B9"/>
    <w:rsid w:val="7BF52FA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3</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2021-02-18T02:41:13Z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