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在自由贸易试验区暂时调整适用有关</w:t>
      </w:r>
    </w:p>
    <w:p>
      <w:pPr>
        <w:jc w:val="center"/>
        <w:rPr>
          <w:rFonts w:ascii="宋体" w:hAnsi="宋体" w:eastAsia="宋体" w:cs="Arial"/>
          <w:bCs/>
          <w:sz w:val="44"/>
          <w:szCs w:val="44"/>
        </w:rPr>
      </w:pPr>
      <w:r>
        <w:rPr>
          <w:rFonts w:ascii="宋体" w:hAnsi="宋体" w:eastAsia="宋体" w:cs="Arial"/>
          <w:bCs/>
          <w:sz w:val="44"/>
          <w:szCs w:val="44"/>
        </w:rPr>
        <w:t>法律规定的决定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优化营商环境，激发市场活力和社会创造力，加快政府职能转变，第十三届全国人民代表大会常务委员会第十四次会议决定：授权国务院在自由贸易试验区内，暂时调整适用《中华人民共和国对外贸易法》《中华人民共和国道路交通安全法》《中华人民共和国消防法》《中华人民共和国食品安全法》《中华人民共和国海关法》《中华人民共和国种子法》的有关规定（目录附后）。上述调整在三年内试行。对实践证明可行的，国务院应当提出修改有关法律的意见；对实践证明不宜调整的，在试点期满后恢复施行有关法律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jc w:val="both"/>
        <w:rPr>
          <w:rFonts w:ascii="仿宋_GB2312" w:hAnsi="仿宋_GB2312" w:eastAsia="仿宋_GB2312" w:cs="仿宋_GB2312"/>
          <w:sz w:val="32"/>
        </w:rPr>
      </w:pPr>
    </w:p>
    <w:p>
      <w:pPr>
        <w:spacing w:line="240" w:lineRule="auto"/>
        <w:ind w:firstLine="640"/>
        <w:jc w:val="center"/>
        <w:rPr>
          <w:rFonts w:ascii="仿宋_GB2312" w:hAnsi="仿宋_GB2312" w:eastAsia="仿宋_GB2312" w:cs="仿宋_GB2312"/>
          <w:sz w:val="32"/>
        </w:rPr>
      </w:pPr>
      <w:r>
        <w:rPr>
          <w:rFonts w:hint="eastAsia" w:asciiTheme="minorEastAsia" w:hAnsiTheme="minorEastAsia" w:eastAsiaTheme="minorEastAsia" w:cstheme="minorEastAsia"/>
          <w:sz w:val="44"/>
          <w:szCs w:val="44"/>
        </w:rPr>
        <w:t>授权国务院在自由贸易试验区暂时调整适用有关法律规定目录</w:t>
      </w:r>
    </w:p>
    <w:tbl>
      <w:tblPr>
        <w:tblStyle w:val="8"/>
        <w:tblW w:w="8933" w:type="dxa"/>
        <w:tblInd w:w="-3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018"/>
        <w:gridCol w:w="1500"/>
        <w:gridCol w:w="4920"/>
        <w:gridCol w:w="1494"/>
        <w:gridCol w:w="1"/>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gridAfter w:val="1"/>
          <w:wAfter w:w="1" w:type="dxa"/>
        </w:trPr>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序号</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名称</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法律规定</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gridAfter w:val="1"/>
          <w:wAfter w:w="1" w:type="dxa"/>
        </w:trPr>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default" w:ascii="Times New Roman" w:hAnsi="Times New Roman" w:cs="Times New Roman"/>
                <w:sz w:val="32"/>
                <w:szCs w:val="32"/>
              </w:rPr>
              <w:t>1</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对外贸易经营者备案登记</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"http://fagui.pkulaw.cn:18080/javascript:SLC(284165,0)" </w:instrText>
            </w:r>
            <w:r>
              <w:rPr>
                <w:rFonts w:hint="eastAsia"/>
                <w:sz w:val="32"/>
                <w:szCs w:val="32"/>
              </w:rPr>
              <w:fldChar w:fldCharType="separate"/>
            </w:r>
            <w:r>
              <w:rPr>
                <w:rFonts w:hint="eastAsia"/>
                <w:sz w:val="32"/>
                <w:szCs w:val="32"/>
              </w:rPr>
              <w:t>中华人民共和国对外贸易法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"http://fagui.pkulaw.cn:18080/javascript:SLC(284165,9)" </w:instrText>
            </w:r>
            <w:r>
              <w:rPr>
                <w:rFonts w:hint="eastAsia"/>
                <w:sz w:val="32"/>
                <w:szCs w:val="32"/>
              </w:rPr>
              <w:fldChar w:fldCharType="separate"/>
            </w:r>
            <w:r>
              <w:rPr>
                <w:rFonts w:hint="eastAsia"/>
                <w:sz w:val="32"/>
                <w:szCs w:val="32"/>
              </w:rPr>
              <w:t>九条</w:t>
            </w:r>
            <w:r>
              <w:rPr>
                <w:rFonts w:hint="eastAsia"/>
                <w:sz w:val="32"/>
                <w:szCs w:val="32"/>
              </w:rPr>
              <w:fldChar w:fldCharType="end"/>
            </w:r>
            <w:r>
              <w:rPr>
                <w:rFonts w:hint="eastAsia"/>
                <w:sz w:val="32"/>
                <w:szCs w:val="32"/>
              </w:rPr>
              <w:t>　从事货物进出口或者技术进出口的对外贸易经营者，应当向国务院对外贸易主管部门或者其委托的机构办理备案登记；但是，法律、行政法规和国务院对外贸易主管部门规定不需要备案登记的除外。备案登记的具体办法由国务院对外贸易主管部门规定。</w:t>
            </w:r>
          </w:p>
          <w:p>
            <w:pPr>
              <w:rPr>
                <w:rFonts w:hint="eastAsia"/>
                <w:sz w:val="32"/>
                <w:szCs w:val="32"/>
              </w:rPr>
            </w:pPr>
            <w:r>
              <w:rPr>
                <w:rFonts w:hint="eastAsia"/>
                <w:sz w:val="32"/>
                <w:szCs w:val="32"/>
                <w:lang w:eastAsia="zh-CN"/>
              </w:rPr>
              <w:t>　　</w:t>
            </w:r>
            <w:r>
              <w:rPr>
                <w:rFonts w:hint="eastAsia"/>
                <w:sz w:val="32"/>
                <w:szCs w:val="32"/>
              </w:rPr>
              <w:t>对外贸易经营者未按照规定办理备案登记的，海关不予办理进出口货物的报关验放手续。</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直接取消审批(取消对外贸易经营者备案登记)</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default" w:ascii="Times New Roman" w:hAnsi="Times New Roman" w:cs="Times New Roman"/>
                <w:sz w:val="32"/>
                <w:szCs w:val="32"/>
              </w:rPr>
              <w:t>2</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sz w:val="32"/>
                <w:szCs w:val="32"/>
              </w:rPr>
              <w:t>拖拉机驾驶培训学校、驾驶培训班资格认定</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"http://fagui.pkulaw.cn:18080/javascript:SLC(150009,0)" </w:instrText>
            </w:r>
            <w:r>
              <w:rPr>
                <w:rFonts w:hint="eastAsia"/>
                <w:sz w:val="32"/>
                <w:szCs w:val="32"/>
              </w:rPr>
              <w:fldChar w:fldCharType="separate"/>
            </w:r>
            <w:r>
              <w:rPr>
                <w:rFonts w:hint="eastAsia"/>
                <w:sz w:val="32"/>
                <w:szCs w:val="32"/>
              </w:rPr>
              <w:t>中华人民共和国道路交通安全法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"http://fagui.pkulaw.cn:18080/javascript:SLC(150009,20)" </w:instrText>
            </w:r>
            <w:r>
              <w:rPr>
                <w:rFonts w:hint="eastAsia"/>
                <w:sz w:val="32"/>
                <w:szCs w:val="32"/>
              </w:rPr>
              <w:fldChar w:fldCharType="separate"/>
            </w:r>
            <w:r>
              <w:rPr>
                <w:rFonts w:hint="eastAsia"/>
                <w:sz w:val="32"/>
                <w:szCs w:val="32"/>
              </w:rPr>
              <w:t>二十条</w:t>
            </w:r>
            <w:r>
              <w:rPr>
                <w:rFonts w:hint="eastAsia"/>
                <w:sz w:val="32"/>
                <w:szCs w:val="32"/>
              </w:rPr>
              <w:fldChar w:fldCharType="end"/>
            </w:r>
            <w:r>
              <w:rPr>
                <w:rFonts w:hint="eastAsia"/>
                <w:sz w:val="32"/>
                <w:szCs w:val="32"/>
              </w:rPr>
              <w:t>第一款　机动车的驾驶培训实行社会化，由交通主管部门对驾驶培训学校、驾驶培训班实行资格管理，其中专门的拖拉机驾驶培训学校、驾驶培训班由农业(农业机械)主管部门实行资格管理。</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直接取消审批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default" w:ascii="Times New Roman" w:hAnsi="Times New Roman" w:cs="Times New Roman"/>
                <w:sz w:val="32"/>
                <w:szCs w:val="32"/>
              </w:rPr>
            </w:pPr>
            <w:r>
              <w:rPr>
                <w:rFonts w:hint="eastAsia" w:ascii="黑体" w:hAnsi="黑体" w:eastAsia="黑体" w:cs="黑体"/>
                <w:sz w:val="32"/>
                <w:szCs w:val="32"/>
              </w:rPr>
              <w:t>序号</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名称</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法律规定</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default" w:ascii="Times New Roman" w:hAnsi="Times New Roman" w:cs="Times New Roman"/>
                <w:sz w:val="32"/>
                <w:szCs w:val="32"/>
              </w:rPr>
              <w:t>3</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消防技术服务机构资质审批</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"http://fagui.pkulaw.cn:18080/javascript:SLC(109890,0)" </w:instrText>
            </w:r>
            <w:r>
              <w:rPr>
                <w:rFonts w:hint="eastAsia"/>
                <w:sz w:val="32"/>
                <w:szCs w:val="32"/>
              </w:rPr>
              <w:fldChar w:fldCharType="separate"/>
            </w:r>
            <w:r>
              <w:rPr>
                <w:rFonts w:hint="eastAsia"/>
                <w:sz w:val="32"/>
                <w:szCs w:val="32"/>
              </w:rPr>
              <w:t>中华人民共和国消防法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"http://fagui.pkulaw.cn:18080/javascript:SLC(109890,34)" </w:instrText>
            </w:r>
            <w:r>
              <w:rPr>
                <w:rFonts w:hint="eastAsia"/>
                <w:sz w:val="32"/>
                <w:szCs w:val="32"/>
              </w:rPr>
              <w:fldChar w:fldCharType="separate"/>
            </w:r>
            <w:r>
              <w:rPr>
                <w:rFonts w:hint="eastAsia"/>
                <w:sz w:val="32"/>
                <w:szCs w:val="32"/>
              </w:rPr>
              <w:t>三十四条</w:t>
            </w:r>
            <w:r>
              <w:rPr>
                <w:rFonts w:hint="eastAsia"/>
                <w:sz w:val="32"/>
                <w:szCs w:val="32"/>
              </w:rPr>
              <w:fldChar w:fldCharType="end"/>
            </w:r>
            <w:r>
              <w:rPr>
                <w:rFonts w:hint="eastAsia"/>
                <w:sz w:val="32"/>
                <w:szCs w:val="32"/>
              </w:rPr>
              <w:t>　消防产品质量认证、消防设施检测、消防安全监测等消防技术服务机构和执业人员，应当依法获得相应的资质、资格；依照法律、行政法规、国家标准、行业标准和执业准则，接受委托提供消防技术服务，并对服务质量负责。</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直接取消审批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default" w:ascii="Times New Roman" w:hAnsi="Times New Roman" w:cs="Times New Roman"/>
                <w:sz w:val="32"/>
                <w:szCs w:val="32"/>
              </w:rPr>
            </w:pPr>
            <w:r>
              <w:rPr>
                <w:rFonts w:hint="default" w:ascii="Times New Roman" w:hAnsi="Times New Roman" w:cs="Times New Roman"/>
                <w:sz w:val="32"/>
                <w:szCs w:val="32"/>
              </w:rPr>
              <w:t>4</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食品经营许可(仅销售预包装食品)</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"http://fagui.pkulaw.cn:18080/javascript:SLC(328289,0)" </w:instrText>
            </w:r>
            <w:r>
              <w:rPr>
                <w:rFonts w:hint="eastAsia"/>
                <w:sz w:val="32"/>
                <w:szCs w:val="32"/>
              </w:rPr>
              <w:fldChar w:fldCharType="separate"/>
            </w:r>
            <w:r>
              <w:rPr>
                <w:rFonts w:hint="eastAsia"/>
                <w:sz w:val="32"/>
                <w:szCs w:val="32"/>
              </w:rPr>
              <w:t>中华人民共和国食品安全法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"http://fagui.pkulaw.cn:18080/javascript:SLC(328289,35)" </w:instrText>
            </w:r>
            <w:r>
              <w:rPr>
                <w:rFonts w:hint="eastAsia"/>
                <w:sz w:val="32"/>
                <w:szCs w:val="32"/>
              </w:rPr>
              <w:fldChar w:fldCharType="separate"/>
            </w:r>
            <w:r>
              <w:rPr>
                <w:rFonts w:hint="eastAsia"/>
                <w:sz w:val="32"/>
                <w:szCs w:val="32"/>
              </w:rPr>
              <w:t>三十五条</w:t>
            </w:r>
            <w:r>
              <w:rPr>
                <w:rFonts w:hint="eastAsia"/>
                <w:sz w:val="32"/>
                <w:szCs w:val="32"/>
              </w:rPr>
              <w:fldChar w:fldCharType="end"/>
            </w:r>
            <w:r>
              <w:rPr>
                <w:rFonts w:hint="eastAsia"/>
                <w:sz w:val="32"/>
                <w:szCs w:val="32"/>
              </w:rPr>
              <w:t>　国家对食品生产经营实行许可制度。从事食品生产、食品销售、餐饮服务，应当依法取得许可。但是，销售食用农产品，不需要取得许可。</w:t>
            </w:r>
          </w:p>
          <w:p>
            <w:pPr>
              <w:rPr>
                <w:rFonts w:hint="eastAsia"/>
                <w:sz w:val="32"/>
                <w:szCs w:val="32"/>
                <w:lang w:eastAsia="zh-CN"/>
              </w:rPr>
            </w:pPr>
            <w:r>
              <w:rPr>
                <w:rFonts w:hint="eastAsia"/>
                <w:sz w:val="32"/>
                <w:szCs w:val="32"/>
                <w:lang w:eastAsia="zh-CN"/>
              </w:rPr>
              <w:t>　　</w:t>
            </w:r>
            <w:r>
              <w:rPr>
                <w:rFonts w:hint="eastAsia"/>
                <w:sz w:val="32"/>
                <w:szCs w:val="32"/>
              </w:rPr>
              <w:t>县级以上地方人民政府食品安全监督管理部门应当依照《</w:t>
            </w:r>
            <w:r>
              <w:rPr>
                <w:rFonts w:hint="eastAsia"/>
                <w:sz w:val="32"/>
                <w:szCs w:val="32"/>
              </w:rPr>
              <w:fldChar w:fldCharType="begin"/>
            </w:r>
            <w:r>
              <w:rPr>
                <w:rFonts w:hint="eastAsia"/>
                <w:sz w:val="32"/>
                <w:szCs w:val="32"/>
              </w:rPr>
              <w:instrText xml:space="preserve"> HYPERLINK "http://fagui.pkulaw.cn:18080/javascript:SLC(49280,0)" </w:instrText>
            </w:r>
            <w:r>
              <w:rPr>
                <w:rFonts w:hint="eastAsia"/>
                <w:sz w:val="32"/>
                <w:szCs w:val="32"/>
              </w:rPr>
              <w:fldChar w:fldCharType="separate"/>
            </w:r>
            <w:r>
              <w:rPr>
                <w:rFonts w:hint="eastAsia"/>
                <w:sz w:val="32"/>
                <w:szCs w:val="32"/>
              </w:rPr>
              <w:t>中华人民共和国行政许可法</w:t>
            </w:r>
            <w:r>
              <w:rPr>
                <w:rFonts w:hint="eastAsia"/>
                <w:sz w:val="32"/>
                <w:szCs w:val="32"/>
              </w:rPr>
              <w:fldChar w:fldCharType="end"/>
            </w:r>
            <w:r>
              <w:rPr>
                <w:rFonts w:hint="eastAsia"/>
                <w:sz w:val="32"/>
                <w:szCs w:val="32"/>
              </w:rPr>
              <w:t>》的规定，审核申请人提交的本法第三十三条第一款第一项至第四项规定要求的相</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审批改为备案</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序号</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名称</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法律规定</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eastAsia" w:ascii="黑体" w:hAnsi="黑体" w:eastAsia="黑体" w:cs="黑体"/>
                <w:sz w:val="32"/>
                <w:szCs w:val="32"/>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关资料，必要时对申请人的生产经营场所进行现场核查；对符合规定条件的，准予许可；对不符合规定条件的，不予许可并书面说明理由。</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default" w:ascii="Times New Roman" w:hAnsi="Times New Roman" w:cs="Times New Roman"/>
                <w:sz w:val="32"/>
                <w:szCs w:val="32"/>
              </w:rPr>
              <w:t>5</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报关企业注册登记</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"http://fagui.pkulaw.cn:18080/javascript:SLC(304339,0)" </w:instrText>
            </w:r>
            <w:r>
              <w:rPr>
                <w:rFonts w:hint="eastAsia"/>
                <w:sz w:val="32"/>
                <w:szCs w:val="32"/>
              </w:rPr>
              <w:fldChar w:fldCharType="separate"/>
            </w:r>
            <w:r>
              <w:rPr>
                <w:rFonts w:hint="eastAsia"/>
                <w:sz w:val="32"/>
                <w:szCs w:val="32"/>
              </w:rPr>
              <w:t>中华人民共和国海关法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"http://fagui.pkulaw.cn:18080/javascript:SLC(304339,11)" </w:instrText>
            </w:r>
            <w:r>
              <w:rPr>
                <w:rFonts w:hint="eastAsia"/>
                <w:sz w:val="32"/>
                <w:szCs w:val="32"/>
              </w:rPr>
              <w:fldChar w:fldCharType="separate"/>
            </w:r>
            <w:r>
              <w:rPr>
                <w:rFonts w:hint="eastAsia"/>
                <w:sz w:val="32"/>
                <w:szCs w:val="32"/>
              </w:rPr>
              <w:t>十一条</w:t>
            </w:r>
            <w:r>
              <w:rPr>
                <w:rFonts w:hint="eastAsia"/>
                <w:sz w:val="32"/>
                <w:szCs w:val="32"/>
              </w:rPr>
              <w:fldChar w:fldCharType="end"/>
            </w:r>
            <w:r>
              <w:rPr>
                <w:rFonts w:hint="eastAsia"/>
                <w:sz w:val="32"/>
                <w:szCs w:val="32"/>
              </w:rPr>
              <w:t>第一款　进出口货物收发货人、报关企业办理报关手续，必须依法经海关注册登记。未依法经海关注册登记，不得从事报关业务。</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审批改为备案</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sz w:val="32"/>
                <w:szCs w:val="32"/>
              </w:rPr>
            </w:pPr>
            <w:r>
              <w:rPr>
                <w:rFonts w:hint="default" w:ascii="Times New Roman" w:hAnsi="Times New Roman" w:cs="Times New Roman"/>
                <w:sz w:val="32"/>
                <w:szCs w:val="32"/>
              </w:rPr>
              <w:t>6</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公众聚集场所投入使</w:t>
            </w:r>
            <w:bookmarkStart w:id="3" w:name="_GoBack"/>
            <w:bookmarkEnd w:id="3"/>
            <w:r>
              <w:rPr>
                <w:rFonts w:hint="eastAsia"/>
                <w:sz w:val="32"/>
                <w:szCs w:val="32"/>
              </w:rPr>
              <w:t>用、营业前消防安全检查</w:t>
            </w:r>
          </w:p>
        </w:tc>
        <w:tc>
          <w:tcPr>
            <w:tcW w:w="492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"http://fagui.pkulaw.cn:18080/javascript:SLC(109890,0)" </w:instrText>
            </w:r>
            <w:r>
              <w:rPr>
                <w:rFonts w:hint="eastAsia"/>
                <w:sz w:val="32"/>
                <w:szCs w:val="32"/>
              </w:rPr>
              <w:fldChar w:fldCharType="separate"/>
            </w:r>
            <w:r>
              <w:rPr>
                <w:rFonts w:hint="eastAsia"/>
                <w:sz w:val="32"/>
                <w:szCs w:val="32"/>
              </w:rPr>
              <w:t>中华人民共和国消防法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"http://fagui.pkulaw.cn:18080/javascript:SLC(109890,15)" </w:instrText>
            </w:r>
            <w:r>
              <w:rPr>
                <w:rFonts w:hint="eastAsia"/>
                <w:sz w:val="32"/>
                <w:szCs w:val="32"/>
              </w:rPr>
              <w:fldChar w:fldCharType="separate"/>
            </w:r>
            <w:r>
              <w:rPr>
                <w:rFonts w:hint="eastAsia"/>
                <w:sz w:val="32"/>
                <w:szCs w:val="32"/>
              </w:rPr>
              <w:t>十五条</w:t>
            </w:r>
            <w:r>
              <w:rPr>
                <w:rFonts w:hint="eastAsia"/>
                <w:sz w:val="32"/>
                <w:szCs w:val="32"/>
              </w:rPr>
              <w:fldChar w:fldCharType="end"/>
            </w:r>
            <w:r>
              <w:rPr>
                <w:rFonts w:hint="eastAsia"/>
                <w:sz w:val="32"/>
                <w:szCs w:val="32"/>
              </w:rPr>
              <w:t>　公众聚集场所在投入使用、营业前，建设单位或者使用单位应当向场所所在地的县级以上地方人民政府消防救援机构申请消防安全检查。</w:t>
            </w:r>
          </w:p>
          <w:p>
            <w:pPr>
              <w:rPr>
                <w:rFonts w:hint="eastAsia"/>
                <w:sz w:val="32"/>
                <w:szCs w:val="32"/>
              </w:rPr>
            </w:pPr>
            <w:r>
              <w:rPr>
                <w:rFonts w:hint="eastAsia"/>
                <w:sz w:val="32"/>
                <w:szCs w:val="32"/>
                <w:lang w:eastAsia="zh-CN"/>
              </w:rPr>
              <w:t>　　</w:t>
            </w:r>
            <w:r>
              <w:rPr>
                <w:rFonts w:hint="eastAsia"/>
                <w:sz w:val="32"/>
                <w:szCs w:val="32"/>
              </w:rPr>
              <w:t>消防救援机构应当自受理申请之日起十个工作日内，根据消防技术标准和管理规定，对该场所进行消防安全检查。未经消防安全检查</w:t>
            </w:r>
          </w:p>
        </w:tc>
        <w:tc>
          <w:tcPr>
            <w:tcW w:w="149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实行告知承诺(当事人承诺符合消防安全标准并提供相关材料的，消防救援机构不再进行实质</w:t>
            </w:r>
          </w:p>
        </w:tc>
      </w:tr>
    </w:tbl>
    <w:tbl>
      <w:tblPr>
        <w:tblStyle w:val="8"/>
        <w:tblpPr w:leftFromText="180" w:rightFromText="180" w:vertAnchor="text" w:horzAnchor="page" w:tblpX="1581" w:tblpY="570"/>
        <w:tblOverlap w:val="never"/>
        <w:tblW w:w="8932" w:type="dxa"/>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998"/>
        <w:gridCol w:w="1500"/>
        <w:gridCol w:w="4935"/>
        <w:gridCol w:w="1499"/>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99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序号</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名称</w:t>
            </w:r>
          </w:p>
        </w:tc>
        <w:tc>
          <w:tcPr>
            <w:tcW w:w="4935"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法律规定</w:t>
            </w:r>
          </w:p>
        </w:tc>
        <w:tc>
          <w:tcPr>
            <w:tcW w:w="149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黑体" w:hAnsi="黑体" w:eastAsia="黑体" w:cs="黑体"/>
                <w:sz w:val="32"/>
                <w:szCs w:val="32"/>
              </w:rPr>
            </w:pPr>
            <w:r>
              <w:rPr>
                <w:rFonts w:hint="eastAsia" w:ascii="黑体" w:hAnsi="黑体" w:eastAsia="黑体" w:cs="黑体"/>
                <w:sz w:val="32"/>
                <w:szCs w:val="32"/>
              </w:rPr>
              <w:t>调整内容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998"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default"/>
                <w:sz w:val="32"/>
                <w:szCs w:val="32"/>
              </w:rPr>
            </w:pP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p>
        </w:tc>
        <w:tc>
          <w:tcPr>
            <w:tcW w:w="4935"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或者经检查不符合消防安全要求的，不得投入使用、营业。</w:t>
            </w:r>
          </w:p>
        </w:tc>
        <w:tc>
          <w:tcPr>
            <w:tcW w:w="1499"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性审查，当场作出审批决定。)</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998"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default"/>
                <w:sz w:val="32"/>
                <w:szCs w:val="32"/>
              </w:rPr>
              <w:t>7</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林草种子(进出口)生产经营许可证核发</w:t>
            </w:r>
          </w:p>
        </w:tc>
        <w:tc>
          <w:tcPr>
            <w:tcW w:w="4935"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lang w:eastAsia="zh-CN"/>
              </w:rPr>
              <w:t>　　</w:t>
            </w:r>
            <w:r>
              <w:rPr>
                <w:rFonts w:hint="eastAsia"/>
                <w:sz w:val="32"/>
                <w:szCs w:val="32"/>
              </w:rPr>
              <w:t>《</w:t>
            </w:r>
            <w:r>
              <w:rPr>
                <w:rFonts w:hint="eastAsia"/>
                <w:sz w:val="32"/>
                <w:szCs w:val="32"/>
              </w:rPr>
              <w:fldChar w:fldCharType="begin"/>
            </w:r>
            <w:r>
              <w:rPr>
                <w:rFonts w:hint="eastAsia"/>
                <w:sz w:val="32"/>
                <w:szCs w:val="32"/>
              </w:rPr>
              <w:instrText xml:space="preserve"> HYPERLINK "http://fagui.pkulaw.cn:18080/javascript:SLC(259498,0)" </w:instrText>
            </w:r>
            <w:r>
              <w:rPr>
                <w:rFonts w:hint="eastAsia"/>
                <w:sz w:val="32"/>
                <w:szCs w:val="32"/>
              </w:rPr>
              <w:fldChar w:fldCharType="separate"/>
            </w:r>
            <w:r>
              <w:rPr>
                <w:rFonts w:hint="eastAsia"/>
                <w:sz w:val="32"/>
                <w:szCs w:val="32"/>
              </w:rPr>
              <w:t>中华人民共和国种子法</w:t>
            </w:r>
            <w:r>
              <w:rPr>
                <w:rFonts w:hint="eastAsia"/>
                <w:sz w:val="32"/>
                <w:szCs w:val="32"/>
              </w:rPr>
              <w:fldChar w:fldCharType="end"/>
            </w:r>
            <w:r>
              <w:rPr>
                <w:rFonts w:hint="eastAsia"/>
                <w:sz w:val="32"/>
                <w:szCs w:val="32"/>
              </w:rPr>
              <w:t>》</w:t>
            </w:r>
          </w:p>
          <w:p>
            <w:pPr>
              <w:rPr>
                <w:rFonts w:hint="eastAsia"/>
                <w:sz w:val="32"/>
                <w:szCs w:val="32"/>
              </w:rPr>
            </w:pPr>
            <w:r>
              <w:rPr>
                <w:rFonts w:hint="eastAsia"/>
                <w:sz w:val="32"/>
                <w:szCs w:val="32"/>
                <w:lang w:eastAsia="zh-CN"/>
              </w:rPr>
              <w:t>　　</w:t>
            </w:r>
            <w:r>
              <w:rPr>
                <w:rFonts w:hint="eastAsia"/>
                <w:sz w:val="32"/>
                <w:szCs w:val="32"/>
              </w:rPr>
              <w:t>第</w:t>
            </w:r>
            <w:r>
              <w:rPr>
                <w:rFonts w:hint="eastAsia"/>
                <w:sz w:val="32"/>
                <w:szCs w:val="32"/>
              </w:rPr>
              <w:fldChar w:fldCharType="begin"/>
            </w:r>
            <w:r>
              <w:rPr>
                <w:rFonts w:hint="eastAsia"/>
                <w:sz w:val="32"/>
                <w:szCs w:val="32"/>
              </w:rPr>
              <w:instrText xml:space="preserve"> HYPERLINK "http://fagui.pkulaw.cn:18080/javascript:SLC(259498,31)" </w:instrText>
            </w:r>
            <w:r>
              <w:rPr>
                <w:rFonts w:hint="eastAsia"/>
                <w:sz w:val="32"/>
                <w:szCs w:val="32"/>
              </w:rPr>
              <w:fldChar w:fldCharType="separate"/>
            </w:r>
            <w:r>
              <w:rPr>
                <w:rFonts w:hint="eastAsia"/>
                <w:sz w:val="32"/>
                <w:szCs w:val="32"/>
              </w:rPr>
              <w:t>三十一条</w:t>
            </w:r>
            <w:r>
              <w:rPr>
                <w:rFonts w:hint="eastAsia"/>
                <w:sz w:val="32"/>
                <w:szCs w:val="32"/>
              </w:rPr>
              <w:fldChar w:fldCharType="end"/>
            </w:r>
            <w:r>
              <w:rPr>
                <w:rFonts w:hint="eastAsia"/>
                <w:sz w:val="32"/>
                <w:szCs w:val="32"/>
              </w:rPr>
              <w:t>第一款　从事种子进出口业务的种子生产经营许可证，由省、自治区、直辖市人民政府农业、林业主管部门审核，国务院农业、林业主管部门核发。</w:t>
            </w:r>
          </w:p>
          <w:p>
            <w:pPr>
              <w:rPr>
                <w:rFonts w:hint="eastAsia"/>
                <w:sz w:val="32"/>
                <w:szCs w:val="32"/>
              </w:rPr>
            </w:pPr>
            <w:r>
              <w:rPr>
                <w:rFonts w:hint="eastAsia"/>
                <w:sz w:val="32"/>
                <w:szCs w:val="32"/>
              </w:rPr>
              <w:t>第九十三条　草种、烟草种、中药材种、食用菌菌种的种质资源管理和选育、生产经营、管理等活动，参照本法执行。</w:t>
            </w:r>
          </w:p>
        </w:tc>
        <w:tc>
          <w:tcPr>
            <w:tcW w:w="1499" w:type="dxa"/>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sz w:val="32"/>
                <w:szCs w:val="32"/>
              </w:rPr>
            </w:pPr>
            <w:r>
              <w:rPr>
                <w:rFonts w:hint="eastAsia"/>
                <w:sz w:val="32"/>
                <w:szCs w:val="32"/>
              </w:rPr>
              <w:t>优化审批服务(取消省级林草部门实施的审核)</w:t>
            </w:r>
          </w:p>
        </w:tc>
      </w:tr>
    </w:tbl>
    <w:p>
      <w:pPr>
        <w:spacing w:line="240" w:lineRule="auto"/>
        <w:jc w:val="both"/>
        <w:rPr>
          <w:rFonts w:ascii="宋体" w:hAnsi="宋体" w:eastAsia="宋体" w:cs="宋体"/>
          <w:sz w:val="24"/>
          <w:szCs w:val="24"/>
          <w:shd w:val="clear" w:fill="FFFFFF"/>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94835EC"/>
    <w:rsid w:val="702B314D"/>
    <w:rsid w:val="7A06746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fjlink1"/>
    <w:basedOn w:val="5"/>
    <w:qFormat/>
    <w:uiPriority w:val="0"/>
  </w:style>
  <w:style w:type="character" w:customStyle="1" w:styleId="12">
    <w:name w:val="font_fulltext1"/>
    <w:basedOn w:val="5"/>
    <w:qFormat/>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2021-02-18T03:17:25Z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