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新疆维吾尔自治区生产建设兵团设置</w:t>
      </w:r>
    </w:p>
    <w:p>
      <w:pPr>
        <w:jc w:val="center"/>
        <w:rPr>
          <w:rFonts w:ascii="宋体" w:hAnsi="宋体" w:eastAsia="宋体" w:cs="Arial"/>
          <w:bCs/>
          <w:sz w:val="44"/>
          <w:szCs w:val="44"/>
        </w:rPr>
      </w:pPr>
      <w:r>
        <w:rPr>
          <w:rFonts w:ascii="宋体" w:hAnsi="宋体" w:eastAsia="宋体" w:cs="Arial"/>
          <w:bCs/>
          <w:sz w:val="44"/>
          <w:szCs w:val="44"/>
        </w:rPr>
        <w:t>人民法院和人民检察院的决定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第九届全国人民代表大会常务委员会第六次会议审议了最高人民法院《关于确定新疆生产建设兵团法院法律地位的议案》和最高人民检察院《关于确定新疆生产建设兵团检察院法律地位的议案》，决定如下：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在新疆维</w:t>
      </w:r>
      <w:bookmarkStart w:id="3" w:name="_GoBack"/>
      <w:bookmarkEnd w:id="3"/>
      <w:r>
        <w:rPr>
          <w:rFonts w:ascii="仿宋_GB2312" w:hAnsi="仿宋_GB2312" w:eastAsia="仿宋_GB2312" w:cs="仿宋_GB2312"/>
          <w:sz w:val="32"/>
        </w:rPr>
        <w:t>吾尔自治区设立新疆维吾尔自治区高级人民法院生产建设兵团分院，作为自治区高级人民法院的派出机构；在新疆生产建设兵团设立若干中级人民法院；在生产建设兵团农牧团场比较集中的垦区设立基层人民法院。</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新疆维吾尔自治区人民检察院在生产建设兵团设置下列人民检察院，作为自治区人民检察院的派出机构：</w:t>
      </w:r>
    </w:p>
    <w:p>
      <w:pPr>
        <w:spacing w:line="240" w:lineRule="auto"/>
        <w:ind w:firstLine="640"/>
        <w:jc w:val="both"/>
      </w:pPr>
      <w:r>
        <w:rPr>
          <w:rFonts w:ascii="仿宋_GB2312" w:hAnsi="仿宋_GB2312" w:eastAsia="仿宋_GB2312" w:cs="仿宋_GB2312"/>
          <w:sz w:val="32"/>
        </w:rPr>
        <w:t>（一）新疆维吾尔自治区生产建设兵团人民检察院；</w:t>
      </w:r>
    </w:p>
    <w:p>
      <w:pPr>
        <w:spacing w:line="240" w:lineRule="auto"/>
        <w:ind w:firstLine="640"/>
        <w:jc w:val="both"/>
      </w:pPr>
      <w:r>
        <w:rPr>
          <w:rFonts w:ascii="仿宋_GB2312" w:hAnsi="仿宋_GB2312" w:eastAsia="仿宋_GB2312" w:cs="仿宋_GB2312"/>
          <w:sz w:val="32"/>
        </w:rPr>
        <w:t>（二）新疆维吾尔自治区生产建设兵团人民检察院分院；</w:t>
      </w:r>
    </w:p>
    <w:p>
      <w:pPr>
        <w:spacing w:line="240" w:lineRule="auto"/>
        <w:ind w:firstLine="640"/>
        <w:jc w:val="both"/>
      </w:pPr>
      <w:r>
        <w:rPr>
          <w:rFonts w:ascii="仿宋_GB2312" w:hAnsi="仿宋_GB2312" w:eastAsia="仿宋_GB2312" w:cs="仿宋_GB2312"/>
          <w:sz w:val="32"/>
        </w:rPr>
        <w:t>（三）在农牧团场比较集中的垦区设置基层人民检察院。</w:t>
      </w:r>
    </w:p>
    <w:p>
      <w:pPr>
        <w:spacing w:line="240" w:lineRule="auto"/>
        <w:ind w:firstLine="640"/>
        <w:jc w:val="both"/>
      </w:pPr>
      <w:r>
        <w:rPr>
          <w:rFonts w:ascii="仿宋_GB2312" w:hAnsi="仿宋_GB2312" w:eastAsia="仿宋_GB2312" w:cs="仿宋_GB2312"/>
          <w:sz w:val="32"/>
        </w:rPr>
        <w:t>新疆维吾尔自治区生产建设兵团人民检察院领导生产建设兵团人民检察院分院以及基层人民检察院的工作。</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在新疆维吾尔自治区生产建设兵团设置的各级人民法院和各级人民检察院的案件管辖权，分别由最高人民法院和最高人民检察院依照有关法律予以规定。</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新疆维吾尔自治区高级人民法院生产建设兵团分院院长、副院长、审判委员会委员、庭长、副庭长、审判员，新疆维吾尔自治区生产建设兵团中级人民法院院长、副院长、审判委员会委员、庭长、副庭长、审判员，由自治区高级人民法院院长提请自治区人民代表大会常务委员会任免；基层人民法院院长、副院长、审判委员会委员、庭长、副庭长、审判员，由新疆维吾尔自治区高级人民法院生产建设兵团分院任免。</w:t>
      </w:r>
    </w:p>
    <w:p>
      <w:pPr>
        <w:spacing w:line="240" w:lineRule="auto"/>
        <w:ind w:firstLine="640"/>
        <w:jc w:val="both"/>
      </w:pPr>
      <w:r>
        <w:rPr>
          <w:rFonts w:ascii="仿宋_GB2312" w:hAnsi="仿宋_GB2312" w:eastAsia="仿宋_GB2312" w:cs="仿宋_GB2312"/>
          <w:sz w:val="32"/>
        </w:rPr>
        <w:t>新疆维吾尔自治区生产建设兵团人民检察院检察长、副检察长、检察委员会委员、检察员，新疆维吾尔自治区生产建设兵团人民检察院分院检察长、副检察长、检察委员会委员、检察员，由自治区人民检察院检察长提请自治区人民代表大会常务委员会任免；基层人民检察院检察长、副检察长、检察委员会委员、检察员，由新疆维吾尔自治区生产建设兵团人民检察院任免。</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E4F2020"/>
    <w:rsid w:val="77D71A2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2021-02-02T08:49:10Z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