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</w:t>
      </w:r>
      <w:bookmarkStart w:id="3" w:name="_GoBack"/>
      <w:bookmarkEnd w:id="3"/>
      <w:r>
        <w:rPr>
          <w:rFonts w:ascii="宋体" w:hAnsi="宋体" w:eastAsia="宋体" w:cs="Arial"/>
          <w:bCs/>
          <w:sz w:val="44"/>
          <w:szCs w:val="44"/>
        </w:rPr>
        <w:t>委员会关于深化国防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动员体制改革期间暂时调整适用相关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法律规定的决定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10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23</w:t>
      </w:r>
      <w:r>
        <w:rPr>
          <w:rFonts w:hint="eastAsia" w:ascii="楷体_GB2312" w:hAnsi="Arial" w:eastAsia="楷体_GB2312" w:cs="Arial"/>
          <w:szCs w:val="32"/>
        </w:rPr>
        <w:t>日第十三届全国人民代表大会常务委员会第三十一次会议通过）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深入贯彻党中央关于深化国防动员体制改革的决策部署，依据宪法和《中华人民共和国国防法》，第十三届全国人民代表大会常务委员会第三十一次会议决定：深化国防动员体制改革期间，暂时调整适用《中华人民共和国国防动员法》、《中华人民共和国人民防空法》、《中华人民共和国国防交通法》、《中华人民共和国国防教育法》中有关国防动员以及人民武装动员、经济动员、人民防空、交通战备、国防教育的领导管理体制、军地职能配置、工作机构设置和国防动员资源指挥运用的规定。具体办法按照党中央的有关决定、国务院和中央军事委员会的有关规定执行。改革措施成熟后，及时修改完善有关法律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2021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10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24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D5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18</TotalTime>
  <ScaleCrop>false</ScaleCrop>
  <LinksUpToDate>false</LinksUpToDate>
  <CharactersWithSpaces>54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HP</cp:lastModifiedBy>
  <dcterms:modified xsi:type="dcterms:W3CDTF">2021-10-23T09:41:14Z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A33F538B6A04413289AE804D944A8ED7</vt:lpwstr>
  </property>
</Properties>
</file>