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8E5" w:rsidRPr="005150D8" w:rsidRDefault="001F18E5" w:rsidP="001F18E5">
      <w:pPr>
        <w:pStyle w:val="a5"/>
        <w:overflowPunct w:val="0"/>
        <w:spacing w:after="0" w:line="580" w:lineRule="exact"/>
        <w:ind w:leftChars="0" w:left="0"/>
        <w:rPr>
          <w:rFonts w:eastAsia="方正小标宋简体"/>
          <w:color w:val="000000" w:themeColor="text1"/>
          <w:sz w:val="44"/>
          <w:szCs w:val="44"/>
        </w:rPr>
      </w:pPr>
    </w:p>
    <w:p w:rsidR="001F18E5" w:rsidRPr="000E7CB2" w:rsidRDefault="001F18E5" w:rsidP="001F18E5">
      <w:pPr>
        <w:overflowPunct w:val="0"/>
        <w:spacing w:line="600" w:lineRule="exact"/>
        <w:contextualSpacing/>
        <w:jc w:val="center"/>
        <w:rPr>
          <w:rFonts w:eastAsia="方正小标宋简体"/>
          <w:sz w:val="44"/>
          <w:szCs w:val="44"/>
        </w:rPr>
      </w:pPr>
      <w:r w:rsidRPr="000E7CB2">
        <w:rPr>
          <w:rFonts w:eastAsia="方正小标宋简体"/>
          <w:sz w:val="44"/>
          <w:szCs w:val="44"/>
        </w:rPr>
        <w:t>北京市人民代表大会常务委员会</w:t>
      </w:r>
    </w:p>
    <w:p w:rsidR="001F18E5" w:rsidRPr="000E7CB2" w:rsidRDefault="001F18E5" w:rsidP="001F18E5">
      <w:pPr>
        <w:overflowPunct w:val="0"/>
        <w:spacing w:line="600" w:lineRule="exact"/>
        <w:contextualSpacing/>
        <w:jc w:val="center"/>
        <w:rPr>
          <w:rFonts w:eastAsia="方正小标宋简体"/>
          <w:sz w:val="44"/>
          <w:szCs w:val="44"/>
        </w:rPr>
      </w:pPr>
      <w:r w:rsidRPr="000E7CB2">
        <w:rPr>
          <w:rFonts w:eastAsia="方正小标宋简体"/>
          <w:sz w:val="44"/>
          <w:szCs w:val="44"/>
        </w:rPr>
        <w:t>关于北京市</w:t>
      </w:r>
      <w:r>
        <w:rPr>
          <w:rFonts w:eastAsia="方正小标宋简体" w:hint="eastAsia"/>
          <w:sz w:val="44"/>
          <w:szCs w:val="44"/>
        </w:rPr>
        <w:t>耕地占用</w:t>
      </w:r>
      <w:r w:rsidRPr="000E7CB2">
        <w:rPr>
          <w:rFonts w:eastAsia="方正小标宋简体"/>
          <w:sz w:val="44"/>
          <w:szCs w:val="44"/>
        </w:rPr>
        <w:t>税适用税额的</w:t>
      </w:r>
      <w:r>
        <w:rPr>
          <w:rFonts w:eastAsia="方正小标宋简体"/>
          <w:sz w:val="44"/>
          <w:szCs w:val="44"/>
        </w:rPr>
        <w:t>决定</w:t>
      </w:r>
    </w:p>
    <w:p w:rsidR="001F18E5" w:rsidRPr="000E7CB2" w:rsidRDefault="001F18E5" w:rsidP="001F18E5">
      <w:pPr>
        <w:overflowPunct w:val="0"/>
        <w:spacing w:line="600" w:lineRule="exact"/>
        <w:ind w:left="320" w:hangingChars="100" w:hanging="320"/>
        <w:contextualSpacing/>
        <w:jc w:val="center"/>
        <w:rPr>
          <w:rFonts w:eastAsia="楷体_GB2312"/>
          <w:sz w:val="32"/>
          <w:szCs w:val="32"/>
        </w:rPr>
      </w:pPr>
      <w:r w:rsidRPr="000E7CB2">
        <w:rPr>
          <w:rFonts w:eastAsia="楷体_GB2312"/>
          <w:sz w:val="32"/>
          <w:szCs w:val="32"/>
        </w:rPr>
        <w:t>（</w:t>
      </w:r>
      <w:r w:rsidRPr="000E7CB2">
        <w:rPr>
          <w:rFonts w:eastAsia="楷体_GB2312"/>
          <w:sz w:val="32"/>
          <w:szCs w:val="32"/>
        </w:rPr>
        <w:t>201</w:t>
      </w:r>
      <w:r>
        <w:rPr>
          <w:rFonts w:eastAsia="楷体_GB2312"/>
          <w:sz w:val="32"/>
          <w:szCs w:val="32"/>
        </w:rPr>
        <w:t>9</w:t>
      </w:r>
      <w:r w:rsidRPr="000E7CB2">
        <w:rPr>
          <w:rFonts w:eastAsia="楷体_GB2312"/>
          <w:sz w:val="32"/>
          <w:szCs w:val="32"/>
        </w:rPr>
        <w:t>年</w:t>
      </w:r>
      <w:r>
        <w:rPr>
          <w:rFonts w:eastAsia="楷体_GB2312"/>
          <w:sz w:val="32"/>
          <w:szCs w:val="32"/>
        </w:rPr>
        <w:t>7</w:t>
      </w:r>
      <w:r w:rsidRPr="000E7CB2">
        <w:rPr>
          <w:rFonts w:eastAsia="楷体_GB2312"/>
          <w:sz w:val="32"/>
          <w:szCs w:val="32"/>
        </w:rPr>
        <w:t>月</w:t>
      </w:r>
      <w:r>
        <w:rPr>
          <w:rFonts w:eastAsia="楷体_GB2312"/>
          <w:sz w:val="32"/>
          <w:szCs w:val="32"/>
        </w:rPr>
        <w:t>26</w:t>
      </w:r>
      <w:r w:rsidRPr="000E7CB2">
        <w:rPr>
          <w:rFonts w:eastAsia="楷体_GB2312"/>
          <w:sz w:val="32"/>
          <w:szCs w:val="32"/>
        </w:rPr>
        <w:t>日北京市第十</w:t>
      </w:r>
      <w:r>
        <w:rPr>
          <w:rFonts w:eastAsia="楷体_GB2312" w:hint="eastAsia"/>
          <w:sz w:val="32"/>
          <w:szCs w:val="32"/>
        </w:rPr>
        <w:t>五</w:t>
      </w:r>
      <w:r w:rsidRPr="000E7CB2">
        <w:rPr>
          <w:rFonts w:eastAsia="楷体_GB2312"/>
          <w:sz w:val="32"/>
          <w:szCs w:val="32"/>
        </w:rPr>
        <w:t>届人民代表大会</w:t>
      </w:r>
    </w:p>
    <w:p w:rsidR="001F18E5" w:rsidRPr="000E7CB2" w:rsidRDefault="001F18E5" w:rsidP="001F18E5">
      <w:pPr>
        <w:overflowPunct w:val="0"/>
        <w:spacing w:line="600" w:lineRule="exact"/>
        <w:ind w:left="320" w:hangingChars="100" w:hanging="320"/>
        <w:contextualSpacing/>
        <w:jc w:val="center"/>
        <w:rPr>
          <w:rFonts w:eastAsia="楷体_GB2312"/>
          <w:sz w:val="32"/>
          <w:szCs w:val="32"/>
        </w:rPr>
      </w:pPr>
      <w:r w:rsidRPr="000E7CB2">
        <w:rPr>
          <w:rFonts w:eastAsia="楷体_GB2312"/>
          <w:sz w:val="32"/>
          <w:szCs w:val="32"/>
        </w:rPr>
        <w:t>常务委员会第</w:t>
      </w:r>
      <w:r>
        <w:rPr>
          <w:rFonts w:eastAsia="楷体_GB2312" w:hint="eastAsia"/>
          <w:sz w:val="32"/>
          <w:szCs w:val="32"/>
        </w:rPr>
        <w:t>十四</w:t>
      </w:r>
      <w:r w:rsidRPr="000E7CB2">
        <w:rPr>
          <w:rFonts w:eastAsia="楷体_GB2312"/>
          <w:sz w:val="32"/>
          <w:szCs w:val="32"/>
        </w:rPr>
        <w:t>次会议通过）</w:t>
      </w:r>
    </w:p>
    <w:p w:rsidR="001F18E5" w:rsidRPr="00E30ABE" w:rsidRDefault="001F18E5" w:rsidP="001F18E5">
      <w:pPr>
        <w:overflowPunct w:val="0"/>
        <w:spacing w:line="600" w:lineRule="exact"/>
        <w:ind w:left="320" w:hangingChars="100" w:hanging="320"/>
        <w:contextualSpacing/>
        <w:rPr>
          <w:rFonts w:eastAsia="楷体_GB2312"/>
          <w:sz w:val="32"/>
          <w:szCs w:val="32"/>
        </w:rPr>
      </w:pPr>
    </w:p>
    <w:p w:rsidR="001F18E5" w:rsidRPr="000E7CB2" w:rsidRDefault="001F18E5" w:rsidP="001F18E5">
      <w:pPr>
        <w:overflowPunct w:val="0"/>
        <w:spacing w:line="600" w:lineRule="exact"/>
        <w:ind w:firstLineChars="200" w:firstLine="640"/>
        <w:contextualSpacing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根据《中华人民共和国</w:t>
      </w:r>
      <w:r>
        <w:rPr>
          <w:rFonts w:eastAsia="仿宋_GB2312" w:hint="eastAsia"/>
          <w:sz w:val="32"/>
          <w:szCs w:val="32"/>
        </w:rPr>
        <w:t>耕地占用</w:t>
      </w:r>
      <w:r w:rsidRPr="000E7CB2">
        <w:rPr>
          <w:rFonts w:eastAsia="仿宋_GB2312"/>
          <w:sz w:val="32"/>
          <w:szCs w:val="32"/>
        </w:rPr>
        <w:t>税法》</w:t>
      </w:r>
      <w:r>
        <w:rPr>
          <w:rFonts w:eastAsia="仿宋_GB2312"/>
          <w:sz w:val="32"/>
          <w:szCs w:val="32"/>
        </w:rPr>
        <w:t>第</w:t>
      </w:r>
      <w:r>
        <w:rPr>
          <w:rFonts w:eastAsia="仿宋_GB2312" w:hint="eastAsia"/>
          <w:sz w:val="32"/>
          <w:szCs w:val="32"/>
        </w:rPr>
        <w:t>四</w:t>
      </w:r>
      <w:r w:rsidRPr="000E7CB2">
        <w:rPr>
          <w:rFonts w:eastAsia="仿宋_GB2312"/>
          <w:sz w:val="32"/>
          <w:szCs w:val="32"/>
        </w:rPr>
        <w:t>条第二款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/>
          <w:sz w:val="32"/>
          <w:szCs w:val="32"/>
        </w:rPr>
        <w:t>第五条、第十二条第二款</w:t>
      </w:r>
      <w:r w:rsidRPr="000E7CB2">
        <w:rPr>
          <w:rFonts w:eastAsia="仿宋_GB2312"/>
          <w:sz w:val="32"/>
          <w:szCs w:val="32"/>
        </w:rPr>
        <w:t>的授权，统筹考虑我市</w:t>
      </w:r>
      <w:r>
        <w:rPr>
          <w:rFonts w:eastAsia="仿宋_GB2312" w:hint="eastAsia"/>
          <w:sz w:val="32"/>
          <w:szCs w:val="32"/>
        </w:rPr>
        <w:t>人均耕地面积和</w:t>
      </w:r>
      <w:r>
        <w:rPr>
          <w:rFonts w:eastAsia="仿宋_GB2312"/>
          <w:sz w:val="32"/>
          <w:szCs w:val="32"/>
        </w:rPr>
        <w:t>经济发展等情况</w:t>
      </w:r>
      <w:r w:rsidRPr="000E7CB2">
        <w:rPr>
          <w:rFonts w:eastAsia="仿宋_GB2312"/>
          <w:sz w:val="32"/>
          <w:szCs w:val="32"/>
        </w:rPr>
        <w:t>，北京市第十</w:t>
      </w:r>
      <w:r>
        <w:rPr>
          <w:rFonts w:eastAsia="仿宋_GB2312" w:hint="eastAsia"/>
          <w:sz w:val="32"/>
          <w:szCs w:val="32"/>
        </w:rPr>
        <w:t>五</w:t>
      </w:r>
      <w:r w:rsidRPr="000E7CB2">
        <w:rPr>
          <w:rFonts w:eastAsia="仿宋_GB2312"/>
          <w:sz w:val="32"/>
          <w:szCs w:val="32"/>
        </w:rPr>
        <w:t>届人民代表大会常务委员会第</w:t>
      </w:r>
      <w:r>
        <w:rPr>
          <w:rFonts w:eastAsia="仿宋_GB2312" w:hint="eastAsia"/>
          <w:sz w:val="32"/>
          <w:szCs w:val="32"/>
        </w:rPr>
        <w:t>十四</w:t>
      </w:r>
      <w:r w:rsidRPr="000E7CB2">
        <w:rPr>
          <w:rFonts w:eastAsia="仿宋_GB2312"/>
          <w:sz w:val="32"/>
          <w:szCs w:val="32"/>
        </w:rPr>
        <w:t>次会议对北京市</w:t>
      </w:r>
      <w:r>
        <w:rPr>
          <w:rFonts w:eastAsia="仿宋_GB2312" w:hint="eastAsia"/>
          <w:sz w:val="32"/>
          <w:szCs w:val="32"/>
        </w:rPr>
        <w:t>耕地占用</w:t>
      </w:r>
      <w:r w:rsidRPr="000E7CB2">
        <w:rPr>
          <w:rFonts w:eastAsia="仿宋_GB2312"/>
          <w:sz w:val="32"/>
          <w:szCs w:val="32"/>
        </w:rPr>
        <w:t>税适用税额决定如下：</w:t>
      </w:r>
    </w:p>
    <w:p w:rsidR="001F18E5" w:rsidRDefault="001F18E5" w:rsidP="001F18E5">
      <w:pPr>
        <w:overflowPunct w:val="0"/>
        <w:spacing w:line="600" w:lineRule="exact"/>
        <w:ind w:firstLineChars="200" w:firstLine="640"/>
        <w:contextualSpacing/>
        <w:rPr>
          <w:rFonts w:eastAsia="仿宋_GB2312"/>
          <w:sz w:val="32"/>
          <w:szCs w:val="32"/>
        </w:rPr>
      </w:pPr>
      <w:r w:rsidRPr="000E7CB2">
        <w:rPr>
          <w:rFonts w:eastAsia="仿宋_GB2312"/>
          <w:sz w:val="32"/>
          <w:szCs w:val="32"/>
        </w:rPr>
        <w:t>一、北京市</w:t>
      </w:r>
      <w:r>
        <w:rPr>
          <w:rFonts w:eastAsia="仿宋_GB2312" w:hint="eastAsia"/>
          <w:sz w:val="32"/>
          <w:szCs w:val="32"/>
        </w:rPr>
        <w:t>各区耕地占用税</w:t>
      </w:r>
      <w:r>
        <w:rPr>
          <w:rFonts w:eastAsia="仿宋_GB2312"/>
          <w:sz w:val="32"/>
          <w:szCs w:val="32"/>
        </w:rPr>
        <w:t>的适用税额</w:t>
      </w:r>
    </w:p>
    <w:p w:rsidR="001F18E5" w:rsidRPr="00BB6144" w:rsidRDefault="001F18E5" w:rsidP="001F18E5">
      <w:pPr>
        <w:overflowPunct w:val="0"/>
        <w:spacing w:line="600" w:lineRule="exact"/>
        <w:ind w:firstLineChars="200" w:firstLine="640"/>
        <w:contextualSpacing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朝阳区</w:t>
      </w:r>
      <w:r>
        <w:rPr>
          <w:rFonts w:eastAsia="仿宋_GB2312"/>
          <w:sz w:val="32"/>
          <w:szCs w:val="32"/>
        </w:rPr>
        <w:t>、海淀区、丰台区、石景山区、通州区为每平方米</w:t>
      </w:r>
      <w:r>
        <w:rPr>
          <w:rFonts w:eastAsia="仿宋_GB2312" w:hint="eastAsia"/>
          <w:sz w:val="32"/>
          <w:szCs w:val="32"/>
        </w:rPr>
        <w:t>四十五元</w:t>
      </w:r>
      <w:r>
        <w:rPr>
          <w:rFonts w:eastAsia="仿宋_GB2312"/>
          <w:sz w:val="32"/>
          <w:szCs w:val="32"/>
        </w:rPr>
        <w:t>；</w:t>
      </w:r>
      <w:r>
        <w:rPr>
          <w:rFonts w:eastAsia="仿宋_GB2312" w:hint="eastAsia"/>
          <w:sz w:val="32"/>
          <w:szCs w:val="32"/>
        </w:rPr>
        <w:t>门头沟区</w:t>
      </w:r>
      <w:r>
        <w:rPr>
          <w:rFonts w:eastAsia="仿宋_GB2312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</w:rPr>
        <w:t>房山区</w:t>
      </w:r>
      <w:r>
        <w:rPr>
          <w:rFonts w:eastAsia="仿宋_GB2312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</w:rPr>
        <w:t>顺义区</w:t>
      </w:r>
      <w:r>
        <w:rPr>
          <w:rFonts w:eastAsia="仿宋_GB2312"/>
          <w:sz w:val="32"/>
          <w:szCs w:val="32"/>
        </w:rPr>
        <w:t>、昌平区、</w:t>
      </w:r>
      <w:r>
        <w:rPr>
          <w:rFonts w:eastAsia="仿宋_GB2312" w:hint="eastAsia"/>
          <w:sz w:val="32"/>
          <w:szCs w:val="32"/>
        </w:rPr>
        <w:t>大兴区</w:t>
      </w:r>
      <w:r>
        <w:rPr>
          <w:rFonts w:eastAsia="仿宋_GB2312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</w:rPr>
        <w:t>平谷区</w:t>
      </w:r>
      <w:r>
        <w:rPr>
          <w:rFonts w:eastAsia="仿宋_GB2312"/>
          <w:sz w:val="32"/>
          <w:szCs w:val="32"/>
        </w:rPr>
        <w:t>、怀柔区、密云区为每平方米</w:t>
      </w:r>
      <w:r>
        <w:rPr>
          <w:rFonts w:eastAsia="仿宋_GB2312" w:hint="eastAsia"/>
          <w:sz w:val="32"/>
          <w:szCs w:val="32"/>
        </w:rPr>
        <w:t>四十二元</w:t>
      </w:r>
      <w:r>
        <w:rPr>
          <w:rFonts w:eastAsia="仿宋_GB2312"/>
          <w:sz w:val="32"/>
          <w:szCs w:val="32"/>
        </w:rPr>
        <w:t>；</w:t>
      </w:r>
      <w:r>
        <w:rPr>
          <w:rFonts w:eastAsia="仿宋_GB2312" w:hint="eastAsia"/>
          <w:sz w:val="32"/>
          <w:szCs w:val="32"/>
        </w:rPr>
        <w:t>延庆区</w:t>
      </w:r>
      <w:r>
        <w:rPr>
          <w:rFonts w:eastAsia="仿宋_GB2312"/>
          <w:sz w:val="32"/>
          <w:szCs w:val="32"/>
        </w:rPr>
        <w:t>为每平方米</w:t>
      </w:r>
      <w:r>
        <w:rPr>
          <w:rFonts w:eastAsia="仿宋_GB2312" w:hint="eastAsia"/>
          <w:sz w:val="32"/>
          <w:szCs w:val="32"/>
        </w:rPr>
        <w:t>三十五元</w:t>
      </w:r>
      <w:r>
        <w:rPr>
          <w:rFonts w:eastAsia="仿宋_GB2312"/>
          <w:sz w:val="32"/>
          <w:szCs w:val="32"/>
        </w:rPr>
        <w:t>。</w:t>
      </w:r>
    </w:p>
    <w:p w:rsidR="001F18E5" w:rsidRDefault="001F18E5" w:rsidP="001F18E5">
      <w:pPr>
        <w:overflowPunct w:val="0"/>
        <w:spacing w:line="600" w:lineRule="exact"/>
        <w:ind w:firstLineChars="200" w:firstLine="640"/>
        <w:contextualSpacing/>
        <w:rPr>
          <w:rFonts w:eastAsia="仿宋_GB2312"/>
          <w:sz w:val="32"/>
          <w:szCs w:val="32"/>
        </w:rPr>
      </w:pPr>
      <w:r w:rsidRPr="000E7CB2">
        <w:rPr>
          <w:rFonts w:eastAsia="仿宋_GB2312"/>
          <w:sz w:val="32"/>
          <w:szCs w:val="32"/>
        </w:rPr>
        <w:t>二、北京市</w:t>
      </w:r>
      <w:r>
        <w:rPr>
          <w:rFonts w:eastAsia="仿宋_GB2312" w:hint="eastAsia"/>
          <w:sz w:val="32"/>
          <w:szCs w:val="32"/>
        </w:rPr>
        <w:t>人均耕地低于</w:t>
      </w:r>
      <w:r>
        <w:rPr>
          <w:rFonts w:eastAsia="仿宋_GB2312"/>
          <w:sz w:val="32"/>
          <w:szCs w:val="32"/>
        </w:rPr>
        <w:t>零点五亩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区，不</w:t>
      </w:r>
      <w:r>
        <w:rPr>
          <w:rFonts w:eastAsia="仿宋_GB2312" w:hint="eastAsia"/>
          <w:sz w:val="32"/>
          <w:szCs w:val="32"/>
        </w:rPr>
        <w:t>提高</w:t>
      </w:r>
      <w:r>
        <w:rPr>
          <w:rFonts w:eastAsia="仿宋_GB2312"/>
          <w:sz w:val="32"/>
          <w:szCs w:val="32"/>
        </w:rPr>
        <w:t>耕地占用税的适用税额。</w:t>
      </w:r>
    </w:p>
    <w:p w:rsidR="001F18E5" w:rsidRPr="00137DD3" w:rsidRDefault="001F18E5" w:rsidP="001F18E5">
      <w:pPr>
        <w:overflowPunct w:val="0"/>
        <w:spacing w:line="600" w:lineRule="exact"/>
        <w:ind w:firstLineChars="200" w:firstLine="624"/>
        <w:contextualSpacing/>
        <w:rPr>
          <w:rFonts w:eastAsia="仿宋_GB2312"/>
          <w:spacing w:val="-4"/>
          <w:sz w:val="32"/>
          <w:szCs w:val="32"/>
        </w:rPr>
      </w:pPr>
      <w:r w:rsidRPr="00137DD3">
        <w:rPr>
          <w:rFonts w:eastAsia="仿宋_GB2312" w:hint="eastAsia"/>
          <w:spacing w:val="-4"/>
          <w:sz w:val="32"/>
          <w:szCs w:val="32"/>
        </w:rPr>
        <w:t>三、北京市</w:t>
      </w:r>
      <w:r w:rsidRPr="00137DD3">
        <w:rPr>
          <w:rFonts w:eastAsia="仿宋_GB2312"/>
          <w:spacing w:val="-4"/>
          <w:sz w:val="32"/>
          <w:szCs w:val="32"/>
        </w:rPr>
        <w:t>对占用</w:t>
      </w:r>
      <w:r w:rsidRPr="00137DD3">
        <w:rPr>
          <w:rFonts w:eastAsia="仿宋_GB2312" w:hint="eastAsia"/>
          <w:spacing w:val="-4"/>
          <w:sz w:val="32"/>
          <w:szCs w:val="32"/>
        </w:rPr>
        <w:t>园地</w:t>
      </w:r>
      <w:r w:rsidRPr="00137DD3">
        <w:rPr>
          <w:rFonts w:eastAsia="仿宋_GB2312"/>
          <w:spacing w:val="-4"/>
          <w:sz w:val="32"/>
          <w:szCs w:val="32"/>
        </w:rPr>
        <w:t>、林地、草地、农田水利用地、养殖水面</w:t>
      </w:r>
      <w:r w:rsidRPr="00137DD3">
        <w:rPr>
          <w:rFonts w:eastAsia="仿宋_GB2312" w:hint="eastAsia"/>
          <w:spacing w:val="-4"/>
          <w:sz w:val="32"/>
          <w:szCs w:val="32"/>
        </w:rPr>
        <w:t>、</w:t>
      </w:r>
      <w:r w:rsidRPr="00137DD3">
        <w:rPr>
          <w:rFonts w:eastAsia="仿宋_GB2312"/>
          <w:spacing w:val="-4"/>
          <w:sz w:val="32"/>
          <w:szCs w:val="32"/>
        </w:rPr>
        <w:t>渔业水域滩涂以及其他</w:t>
      </w:r>
      <w:r w:rsidRPr="00137DD3">
        <w:rPr>
          <w:rFonts w:eastAsia="仿宋_GB2312" w:hint="eastAsia"/>
          <w:spacing w:val="-4"/>
          <w:sz w:val="32"/>
          <w:szCs w:val="32"/>
        </w:rPr>
        <w:t>农用地</w:t>
      </w:r>
      <w:r w:rsidRPr="00137DD3">
        <w:rPr>
          <w:rFonts w:eastAsia="仿宋_GB2312"/>
          <w:spacing w:val="-4"/>
          <w:sz w:val="32"/>
          <w:szCs w:val="32"/>
        </w:rPr>
        <w:t>建设</w:t>
      </w:r>
      <w:r w:rsidRPr="00137DD3">
        <w:rPr>
          <w:rFonts w:eastAsia="仿宋_GB2312" w:hint="eastAsia"/>
          <w:spacing w:val="-4"/>
          <w:sz w:val="32"/>
          <w:szCs w:val="32"/>
        </w:rPr>
        <w:t>建筑物</w:t>
      </w:r>
      <w:r w:rsidRPr="00137DD3">
        <w:rPr>
          <w:rFonts w:eastAsia="仿宋_GB2312"/>
          <w:spacing w:val="-4"/>
          <w:sz w:val="32"/>
          <w:szCs w:val="32"/>
        </w:rPr>
        <w:t>、构筑物或者从事</w:t>
      </w:r>
      <w:r w:rsidRPr="00137DD3">
        <w:rPr>
          <w:rFonts w:eastAsia="仿宋_GB2312" w:hint="eastAsia"/>
          <w:spacing w:val="-4"/>
          <w:sz w:val="32"/>
          <w:szCs w:val="32"/>
        </w:rPr>
        <w:t>非</w:t>
      </w:r>
      <w:r w:rsidRPr="00137DD3">
        <w:rPr>
          <w:rFonts w:eastAsia="仿宋_GB2312"/>
          <w:spacing w:val="-4"/>
          <w:sz w:val="32"/>
          <w:szCs w:val="32"/>
        </w:rPr>
        <w:t>农业建设的，依照</w:t>
      </w:r>
      <w:r w:rsidRPr="00137DD3">
        <w:rPr>
          <w:rFonts w:eastAsia="仿宋_GB2312" w:hint="eastAsia"/>
          <w:spacing w:val="-4"/>
          <w:sz w:val="32"/>
          <w:szCs w:val="32"/>
        </w:rPr>
        <w:t>占用</w:t>
      </w:r>
      <w:r w:rsidRPr="00137DD3">
        <w:rPr>
          <w:rFonts w:eastAsia="仿宋_GB2312"/>
          <w:spacing w:val="-4"/>
          <w:sz w:val="32"/>
          <w:szCs w:val="32"/>
        </w:rPr>
        <w:t>地</w:t>
      </w:r>
      <w:r w:rsidRPr="00137DD3">
        <w:rPr>
          <w:rFonts w:eastAsia="仿宋_GB2312" w:hint="eastAsia"/>
          <w:spacing w:val="-4"/>
          <w:sz w:val="32"/>
          <w:szCs w:val="32"/>
        </w:rPr>
        <w:t>所在区耕地占用税</w:t>
      </w:r>
      <w:r w:rsidRPr="00137DD3">
        <w:rPr>
          <w:rFonts w:eastAsia="仿宋_GB2312"/>
          <w:spacing w:val="-4"/>
          <w:sz w:val="32"/>
          <w:szCs w:val="32"/>
        </w:rPr>
        <w:t>适用税额缴纳耕地占用税</w:t>
      </w:r>
      <w:r w:rsidRPr="00137DD3">
        <w:rPr>
          <w:rFonts w:eastAsia="仿宋_GB2312" w:hint="eastAsia"/>
          <w:spacing w:val="-4"/>
          <w:sz w:val="32"/>
          <w:szCs w:val="32"/>
        </w:rPr>
        <w:t>。</w:t>
      </w:r>
    </w:p>
    <w:p w:rsidR="001F18E5" w:rsidRPr="00E30ABE" w:rsidRDefault="001F18E5" w:rsidP="001F18E5">
      <w:pPr>
        <w:overflowPunct w:val="0"/>
        <w:spacing w:line="600" w:lineRule="exact"/>
        <w:ind w:firstLineChars="200" w:firstLine="640"/>
        <w:contextualSpacing/>
        <w:rPr>
          <w:rFonts w:eastAsia="仿宋_GB2312"/>
          <w:sz w:val="32"/>
          <w:szCs w:val="32"/>
        </w:rPr>
      </w:pPr>
      <w:r w:rsidRPr="000E7CB2">
        <w:rPr>
          <w:rFonts w:eastAsia="仿宋_GB2312"/>
          <w:sz w:val="32"/>
          <w:szCs w:val="32"/>
        </w:rPr>
        <w:t>本决定自</w:t>
      </w:r>
      <w:r>
        <w:rPr>
          <w:rFonts w:eastAsia="仿宋_GB2312"/>
          <w:sz w:val="32"/>
          <w:szCs w:val="32"/>
        </w:rPr>
        <w:t>2019</w:t>
      </w:r>
      <w:r w:rsidRPr="000E7CB2">
        <w:rPr>
          <w:rFonts w:eastAsia="仿宋_GB2312"/>
          <w:sz w:val="32"/>
          <w:szCs w:val="32"/>
        </w:rPr>
        <w:t>年</w:t>
      </w:r>
      <w:r>
        <w:rPr>
          <w:rFonts w:eastAsia="仿宋_GB2312"/>
          <w:sz w:val="32"/>
          <w:szCs w:val="32"/>
        </w:rPr>
        <w:t>9</w:t>
      </w:r>
      <w:r w:rsidRPr="000E7CB2">
        <w:rPr>
          <w:rFonts w:eastAsia="仿宋_GB2312"/>
          <w:sz w:val="32"/>
          <w:szCs w:val="32"/>
        </w:rPr>
        <w:t>月</w:t>
      </w:r>
      <w:r w:rsidRPr="000E7CB2">
        <w:rPr>
          <w:rFonts w:eastAsia="仿宋_GB2312"/>
          <w:sz w:val="32"/>
          <w:szCs w:val="32"/>
        </w:rPr>
        <w:t>1</w:t>
      </w:r>
      <w:r w:rsidRPr="000E7CB2">
        <w:rPr>
          <w:rFonts w:eastAsia="仿宋_GB2312"/>
          <w:sz w:val="32"/>
          <w:szCs w:val="32"/>
        </w:rPr>
        <w:t>日起施行。</w:t>
      </w:r>
      <w:bookmarkStart w:id="0" w:name="_GoBack"/>
      <w:bookmarkEnd w:id="0"/>
    </w:p>
    <w:sectPr w:rsidR="001F18E5" w:rsidRPr="00E30ABE" w:rsidSect="00491367">
      <w:footerReference w:type="even" r:id="rId7"/>
      <w:footerReference w:type="default" r:id="rId8"/>
      <w:pgSz w:w="11906" w:h="16838" w:code="9"/>
      <w:pgMar w:top="2098" w:right="1418" w:bottom="1871" w:left="1418" w:header="851" w:footer="1418" w:gutter="0"/>
      <w:pgNumType w:start="2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3E6" w:rsidRDefault="009743E6" w:rsidP="00391CD8">
      <w:r>
        <w:separator/>
      </w:r>
    </w:p>
  </w:endnote>
  <w:endnote w:type="continuationSeparator" w:id="0">
    <w:p w:rsidR="009743E6" w:rsidRDefault="009743E6" w:rsidP="00391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方正小标宋简体">
    <w:panose1 w:val="03000509000000000000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7941" w:rsidRPr="000E7941" w:rsidRDefault="000E7941">
    <w:pPr>
      <w:pStyle w:val="a4"/>
      <w:rPr>
        <w:rFonts w:ascii="Times New Roman" w:eastAsiaTheme="majorEastAsia" w:hAnsi="Times New Roman" w:cs="Times New Roman"/>
        <w:sz w:val="28"/>
        <w:szCs w:val="28"/>
      </w:rPr>
    </w:pPr>
    <w:r w:rsidRPr="000E7941">
      <w:rPr>
        <w:rFonts w:ascii="Times New Roman" w:eastAsiaTheme="majorEastAsia" w:hAnsi="Times New Roman" w:cs="Times New Roman"/>
        <w:sz w:val="28"/>
        <w:szCs w:val="28"/>
      </w:rPr>
      <w:t>－</w:t>
    </w:r>
    <w:sdt>
      <w:sdtPr>
        <w:rPr>
          <w:rFonts w:ascii="Times New Roman" w:eastAsiaTheme="majorEastAsia" w:hAnsi="Times New Roman" w:cs="Times New Roman"/>
          <w:sz w:val="28"/>
          <w:szCs w:val="28"/>
        </w:rPr>
        <w:id w:val="-386808987"/>
        <w:docPartObj>
          <w:docPartGallery w:val="Page Numbers (Bottom of Page)"/>
          <w:docPartUnique/>
        </w:docPartObj>
      </w:sdtPr>
      <w:sdtEndPr/>
      <w:sdtContent>
        <w:r w:rsidRPr="000E7941">
          <w:rPr>
            <w:rFonts w:ascii="Times New Roman" w:eastAsiaTheme="majorEastAsia" w:hAnsi="Times New Roman" w:cs="Times New Roman"/>
            <w:sz w:val="28"/>
            <w:szCs w:val="28"/>
          </w:rPr>
          <w:fldChar w:fldCharType="begin"/>
        </w:r>
        <w:r w:rsidRPr="000E7941">
          <w:rPr>
            <w:rFonts w:ascii="Times New Roman" w:eastAsiaTheme="majorEastAsia" w:hAnsi="Times New Roman" w:cs="Times New Roman"/>
            <w:sz w:val="28"/>
            <w:szCs w:val="28"/>
          </w:rPr>
          <w:instrText>PAGE   \* MERGEFORMAT</w:instrText>
        </w:r>
        <w:r w:rsidRPr="000E7941">
          <w:rPr>
            <w:rFonts w:ascii="Times New Roman" w:eastAsiaTheme="majorEastAsia" w:hAnsi="Times New Roman" w:cs="Times New Roman"/>
            <w:sz w:val="28"/>
            <w:szCs w:val="28"/>
          </w:rPr>
          <w:fldChar w:fldCharType="separate"/>
        </w:r>
        <w:r w:rsidR="00495294" w:rsidRPr="00495294">
          <w:rPr>
            <w:rFonts w:ascii="Times New Roman" w:eastAsiaTheme="majorEastAsia" w:hAnsi="Times New Roman" w:cs="Times New Roman"/>
            <w:noProof/>
            <w:sz w:val="28"/>
            <w:szCs w:val="28"/>
            <w:lang w:val="zh-CN"/>
          </w:rPr>
          <w:t>2</w:t>
        </w:r>
        <w:r w:rsidRPr="000E7941">
          <w:rPr>
            <w:rFonts w:ascii="Times New Roman" w:eastAsiaTheme="majorEastAsia" w:hAnsi="Times New Roman" w:cs="Times New Roman"/>
            <w:sz w:val="28"/>
            <w:szCs w:val="28"/>
          </w:rPr>
          <w:fldChar w:fldCharType="end"/>
        </w:r>
      </w:sdtContent>
    </w:sdt>
    <w:r w:rsidRPr="000E7941">
      <w:rPr>
        <w:rFonts w:ascii="Times New Roman" w:eastAsiaTheme="majorEastAsia" w:hAnsi="Times New Roman" w:cs="Times New Roman"/>
        <w:sz w:val="28"/>
        <w:szCs w:val="28"/>
      </w:rPr>
      <w:t>－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367" w:rsidRPr="00491367" w:rsidRDefault="009743E6">
    <w:pPr>
      <w:pStyle w:val="a4"/>
      <w:jc w:val="right"/>
      <w:rPr>
        <w:rFonts w:ascii="Times New Roman" w:eastAsiaTheme="majorEastAsia" w:hAnsi="Times New Roman" w:cs="Times New Roman"/>
        <w:sz w:val="28"/>
        <w:szCs w:val="28"/>
      </w:rPr>
    </w:pPr>
    <w:sdt>
      <w:sdtPr>
        <w:rPr>
          <w:rFonts w:ascii="Times New Roman" w:eastAsiaTheme="majorEastAsia" w:hAnsi="Times New Roman" w:cs="Times New Roman"/>
          <w:sz w:val="28"/>
          <w:szCs w:val="28"/>
        </w:rPr>
        <w:id w:val="-728841019"/>
        <w:docPartObj>
          <w:docPartGallery w:val="Page Numbers (Bottom of Page)"/>
          <w:docPartUnique/>
        </w:docPartObj>
      </w:sdtPr>
      <w:sdtEndPr/>
      <w:sdtContent>
        <w:r w:rsidR="00491367" w:rsidRPr="00491367">
          <w:rPr>
            <w:rFonts w:ascii="Times New Roman" w:eastAsiaTheme="majorEastAsia" w:hAnsi="Times New Roman" w:cs="Times New Roman"/>
            <w:sz w:val="28"/>
            <w:szCs w:val="28"/>
          </w:rPr>
          <w:t>－</w:t>
        </w:r>
        <w:r w:rsidR="00491367" w:rsidRPr="00491367">
          <w:rPr>
            <w:rFonts w:ascii="Times New Roman" w:eastAsiaTheme="majorEastAsia" w:hAnsi="Times New Roman" w:cs="Times New Roman"/>
            <w:sz w:val="28"/>
            <w:szCs w:val="28"/>
          </w:rPr>
          <w:fldChar w:fldCharType="begin"/>
        </w:r>
        <w:r w:rsidR="00491367" w:rsidRPr="00491367">
          <w:rPr>
            <w:rFonts w:ascii="Times New Roman" w:eastAsiaTheme="majorEastAsia" w:hAnsi="Times New Roman" w:cs="Times New Roman"/>
            <w:sz w:val="28"/>
            <w:szCs w:val="28"/>
          </w:rPr>
          <w:instrText>PAGE   \* MERGEFORMAT</w:instrText>
        </w:r>
        <w:r w:rsidR="00491367" w:rsidRPr="00491367">
          <w:rPr>
            <w:rFonts w:ascii="Times New Roman" w:eastAsiaTheme="majorEastAsia" w:hAnsi="Times New Roman" w:cs="Times New Roman"/>
            <w:sz w:val="28"/>
            <w:szCs w:val="28"/>
          </w:rPr>
          <w:fldChar w:fldCharType="separate"/>
        </w:r>
        <w:r w:rsidR="00495294" w:rsidRPr="00495294">
          <w:rPr>
            <w:rFonts w:ascii="Times New Roman" w:eastAsiaTheme="majorEastAsia" w:hAnsi="Times New Roman" w:cs="Times New Roman"/>
            <w:noProof/>
            <w:sz w:val="28"/>
            <w:szCs w:val="28"/>
            <w:lang w:val="zh-CN"/>
          </w:rPr>
          <w:t>9</w:t>
        </w:r>
        <w:r w:rsidR="00491367" w:rsidRPr="00491367">
          <w:rPr>
            <w:rFonts w:ascii="Times New Roman" w:eastAsiaTheme="majorEastAsia" w:hAnsi="Times New Roman" w:cs="Times New Roman"/>
            <w:sz w:val="28"/>
            <w:szCs w:val="28"/>
          </w:rPr>
          <w:fldChar w:fldCharType="end"/>
        </w:r>
      </w:sdtContent>
    </w:sdt>
    <w:r w:rsidR="00491367" w:rsidRPr="00491367">
      <w:rPr>
        <w:rFonts w:ascii="Times New Roman" w:eastAsiaTheme="majorEastAsia" w:hAnsi="Times New Roman" w:cs="Times New Roman"/>
        <w:sz w:val="28"/>
        <w:szCs w:val="28"/>
      </w:rPr>
      <w:t>－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3E6" w:rsidRDefault="009743E6" w:rsidP="00391CD8">
      <w:r>
        <w:separator/>
      </w:r>
    </w:p>
  </w:footnote>
  <w:footnote w:type="continuationSeparator" w:id="0">
    <w:p w:rsidR="009743E6" w:rsidRDefault="009743E6" w:rsidP="00391C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952"/>
    <w:rsid w:val="00064D89"/>
    <w:rsid w:val="000E7941"/>
    <w:rsid w:val="001129A8"/>
    <w:rsid w:val="0015671C"/>
    <w:rsid w:val="001A20E0"/>
    <w:rsid w:val="001F18E5"/>
    <w:rsid w:val="002D7948"/>
    <w:rsid w:val="00391CD8"/>
    <w:rsid w:val="00491367"/>
    <w:rsid w:val="00495294"/>
    <w:rsid w:val="006D71F0"/>
    <w:rsid w:val="00944952"/>
    <w:rsid w:val="009530C5"/>
    <w:rsid w:val="009743E6"/>
    <w:rsid w:val="00976D8A"/>
    <w:rsid w:val="00A71782"/>
    <w:rsid w:val="00CB1B92"/>
    <w:rsid w:val="00D26B31"/>
    <w:rsid w:val="00DC3414"/>
    <w:rsid w:val="00E9483A"/>
    <w:rsid w:val="00EA5617"/>
    <w:rsid w:val="00FE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A51327-DEDD-42B5-A26D-EF4B76DF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1C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1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1C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1CD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1CD8"/>
    <w:rPr>
      <w:sz w:val="18"/>
      <w:szCs w:val="18"/>
    </w:rPr>
  </w:style>
  <w:style w:type="paragraph" w:styleId="a5">
    <w:name w:val="Body Text Indent"/>
    <w:basedOn w:val="a"/>
    <w:link w:val="Char1"/>
    <w:semiHidden/>
    <w:unhideWhenUsed/>
    <w:rsid w:val="00391CD8"/>
    <w:pPr>
      <w:widowControl/>
      <w:adjustRightInd w:val="0"/>
      <w:snapToGrid w:val="0"/>
      <w:spacing w:after="120"/>
      <w:ind w:leftChars="200" w:left="420"/>
      <w:jc w:val="left"/>
    </w:pPr>
    <w:rPr>
      <w:rFonts w:ascii="Tahoma" w:eastAsia="微软雅黑" w:hAnsi="Tahoma"/>
      <w:kern w:val="0"/>
      <w:sz w:val="22"/>
      <w:szCs w:val="22"/>
    </w:rPr>
  </w:style>
  <w:style w:type="character" w:customStyle="1" w:styleId="Char1">
    <w:name w:val="正文文本缩进 Char"/>
    <w:basedOn w:val="a0"/>
    <w:link w:val="a5"/>
    <w:semiHidden/>
    <w:rsid w:val="00391CD8"/>
    <w:rPr>
      <w:rFonts w:ascii="Tahoma" w:eastAsia="微软雅黑" w:hAnsi="Tahoma" w:cs="Times New Roman"/>
      <w:kern w:val="0"/>
      <w:sz w:val="22"/>
    </w:rPr>
  </w:style>
  <w:style w:type="paragraph" w:styleId="a6">
    <w:name w:val="footnote text"/>
    <w:basedOn w:val="a"/>
    <w:link w:val="Char2"/>
    <w:uiPriority w:val="99"/>
    <w:semiHidden/>
    <w:unhideWhenUsed/>
    <w:rsid w:val="001F18E5"/>
    <w:pPr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2">
    <w:name w:val="脚注文本 Char"/>
    <w:basedOn w:val="a0"/>
    <w:link w:val="a6"/>
    <w:uiPriority w:val="99"/>
    <w:semiHidden/>
    <w:rsid w:val="001F18E5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1F18E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ED120-E434-4405-A5D8-977B2841B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359</Characters>
  <Application>Microsoft Office Word</Application>
  <DocSecurity>0</DocSecurity>
  <Lines>2</Lines>
  <Paragraphs>1</Paragraphs>
  <ScaleCrop>false</ScaleCrop>
  <Company>MS</Company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19</cp:revision>
  <dcterms:created xsi:type="dcterms:W3CDTF">2019-08-12T07:21:00Z</dcterms:created>
  <dcterms:modified xsi:type="dcterms:W3CDTF">2019-09-03T09:02:00Z</dcterms:modified>
</cp:coreProperties>
</file>