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keepNext w:val="0"/>
        <w:keepLines w:val="0"/>
        <w:pageBreakBefore w:val="0"/>
        <w:widowControl w:val="0"/>
        <w:kinsoku/>
        <w:wordWrap/>
        <w:overflowPunct/>
        <w:topLinePunct w:val="0"/>
        <w:autoSpaceDE/>
        <w:autoSpaceDN/>
        <w:bidi w:val="0"/>
        <w:adjustRightInd/>
        <w:snapToGrid/>
        <w:textAlignment w:val="auto"/>
        <w:rPr>
          <w:rFonts w:hint="eastAsia"/>
          <w:lang w:val="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32"/>
          <w:szCs w:val="32"/>
          <w:lang w:val="zh-CN"/>
        </w:rPr>
      </w:pPr>
    </w:p>
    <w:p>
      <w:pPr>
        <w:pStyle w:val="10"/>
        <w:bidi w:val="0"/>
        <w:rPr>
          <w:rFonts w:hint="eastAsia"/>
          <w:lang w:val="zh-CN"/>
        </w:rPr>
      </w:pPr>
      <w:r>
        <w:rPr>
          <w:rFonts w:hint="eastAsia"/>
          <w:lang w:val="zh-CN"/>
        </w:rPr>
        <w:t>上海市人民代表大会常务委员会</w:t>
      </w:r>
    </w:p>
    <w:p>
      <w:pPr>
        <w:pStyle w:val="10"/>
        <w:bidi w:val="0"/>
        <w:rPr>
          <w:rFonts w:hint="eastAsia"/>
          <w:lang w:val="zh-CN"/>
        </w:rPr>
      </w:pPr>
      <w:r>
        <w:rPr>
          <w:rFonts w:hint="eastAsia"/>
          <w:lang w:val="zh-CN"/>
        </w:rPr>
        <w:t>关于修改《上海市公共场所控制吸烟条例》</w:t>
      </w:r>
    </w:p>
    <w:p>
      <w:pPr>
        <w:pStyle w:val="10"/>
        <w:bidi w:val="0"/>
        <w:rPr>
          <w:rFonts w:hint="eastAsia"/>
          <w:lang w:val="zh-CN"/>
        </w:rPr>
      </w:pPr>
      <w:r>
        <w:rPr>
          <w:rFonts w:hint="eastAsia"/>
          <w:lang w:val="zh-CN"/>
        </w:rPr>
        <w:t>等5件地方性法规和废止《上海市企业名称</w:t>
      </w:r>
    </w:p>
    <w:p>
      <w:pPr>
        <w:pStyle w:val="10"/>
        <w:bidi w:val="0"/>
        <w:rPr>
          <w:rFonts w:hint="eastAsia" w:ascii="仿宋_GB2312" w:hAnsi="仿宋_GB2312" w:eastAsia="仿宋_GB2312" w:cs="仿宋_GB2312"/>
          <w:color w:val="000000"/>
          <w:szCs w:val="32"/>
          <w:lang w:val="zh-CN"/>
        </w:rPr>
      </w:pPr>
      <w:r>
        <w:rPr>
          <w:rFonts w:hint="eastAsia"/>
          <w:lang w:val="zh-CN"/>
        </w:rPr>
        <w:t>登记管理规定》的决定</w:t>
      </w:r>
    </w:p>
    <w:p>
      <w:pPr>
        <w:pStyle w:val="11"/>
        <w:bidi w:val="0"/>
        <w:ind w:leftChars="300"/>
        <w:jc w:val="both"/>
        <w:rPr>
          <w:rFonts w:hint="eastAsia"/>
          <w:lang w:val="zh-CN"/>
        </w:rPr>
      </w:pPr>
    </w:p>
    <w:p>
      <w:pPr>
        <w:pStyle w:val="11"/>
        <w:bidi w:val="0"/>
        <w:ind w:leftChars="300"/>
        <w:jc w:val="both"/>
        <w:rPr>
          <w:rFonts w:hint="eastAsia"/>
          <w:lang w:val="zh-CN"/>
        </w:rPr>
      </w:pPr>
      <w:bookmarkStart w:id="0" w:name="_GoBack"/>
      <w:bookmarkEnd w:id="0"/>
      <w:r>
        <w:rPr>
          <w:rFonts w:hint="eastAsia"/>
          <w:lang w:val="zh-CN"/>
        </w:rPr>
        <w:t>（2022年10月28日上海市第十五届人民代表大会常务委员会第四十五次会议通过）</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 xml:space="preserve">    </w:t>
      </w:r>
    </w:p>
    <w:p>
      <w:pPr>
        <w:pStyle w:val="12"/>
        <w:keepNext w:val="0"/>
        <w:keepLines w:val="0"/>
        <w:pageBreakBefore w:val="0"/>
        <w:widowControl/>
        <w:kinsoku/>
        <w:wordWrap/>
        <w:overflowPunct/>
        <w:topLinePunct w:val="0"/>
        <w:autoSpaceDE/>
        <w:autoSpaceDN/>
        <w:bidi w:val="0"/>
        <w:adjustRightInd/>
        <w:snapToGrid/>
        <w:ind w:left="0" w:leftChars="0" w:firstLine="598" w:firstLineChars="200"/>
        <w:textAlignment w:val="auto"/>
        <w:rPr>
          <w:rFonts w:hint="eastAsia"/>
          <w:lang w:val="zh-CN"/>
        </w:rPr>
      </w:pPr>
      <w:r>
        <w:rPr>
          <w:rFonts w:hint="eastAsia"/>
          <w:spacing w:val="-6"/>
          <w:lang w:val="zh-CN"/>
        </w:rPr>
        <w:t>上海市第十五届人民代表大会常务委员会第四十五次会议决定：</w:t>
      </w:r>
    </w:p>
    <w:p>
      <w:pPr>
        <w:pStyle w:val="12"/>
        <w:bidi w:val="0"/>
        <w:rPr>
          <w:rFonts w:hint="eastAsia"/>
          <w:lang w:val="zh-CN"/>
        </w:rPr>
      </w:pPr>
      <w:r>
        <w:rPr>
          <w:rFonts w:hint="eastAsia"/>
          <w:lang w:val="zh-CN"/>
        </w:rPr>
        <w:t>一、修改《上海市公共场所控制吸烟条例》等5件地方性法规</w:t>
      </w:r>
    </w:p>
    <w:p>
      <w:pPr>
        <w:pStyle w:val="8"/>
        <w:bidi w:val="0"/>
        <w:rPr>
          <w:rFonts w:hint="eastAsia" w:ascii="仿宋_GB2312" w:hAnsi="仿宋_GB2312" w:eastAsia="仿宋_GB2312" w:cs="仿宋_GB2312"/>
          <w:color w:val="000000"/>
          <w:szCs w:val="32"/>
          <w:lang w:val="zh-CN"/>
        </w:rPr>
      </w:pPr>
      <w:r>
        <w:rPr>
          <w:rFonts w:hint="eastAsia"/>
          <w:lang w:val="zh-CN"/>
        </w:rPr>
        <w:t>（一）对《上海市公共场所控制吸烟条例》的修改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1.将第二条第二款修改为：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前款所称控烟工作，是指采取有效措施，禁止在本条例规定的禁烟场所吸烟（包括电子烟）。</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2.将第一条和第五条第一款、第二款中的“烟草烟雾”修改为“烟草烟雾及电子烟释放物”。</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3.其他修改：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将第十六条中的“文化综合执法机构”修改为“文化旅游部门”、“交通行政执法机构”修改为“交通部门”、“食品药品监督管理部门（市场监督管理部门）”修改为“市场监管部门”，第二十一条中的“行政处分”修改为“处分”；将相关条款中的“卫生计生”修改为“卫生健康”、“文广影视”修改为“文化旅游”、“食品药品监督”修改为“市场监管”、“住房城乡建设”修改为“城管执法”；删去第四条第三款中的“旅游”、“文化综合执法”及第十一条第二款中的“旅游”。</w:t>
      </w:r>
    </w:p>
    <w:p>
      <w:pPr>
        <w:pStyle w:val="8"/>
        <w:bidi w:val="0"/>
        <w:rPr>
          <w:rFonts w:hint="eastAsia"/>
          <w:lang w:val="zh-CN"/>
        </w:rPr>
      </w:pPr>
      <w:r>
        <w:rPr>
          <w:rFonts w:hint="eastAsia"/>
          <w:lang w:val="zh-CN"/>
        </w:rPr>
        <w:t>（二）对《上海市河道管理条例》的修改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4.删去第二十八条第一款。</w:t>
      </w:r>
    </w:p>
    <w:p>
      <w:pPr>
        <w:pStyle w:val="8"/>
        <w:bidi w:val="0"/>
        <w:rPr>
          <w:rFonts w:hint="eastAsia"/>
          <w:lang w:val="zh-CN"/>
        </w:rPr>
      </w:pPr>
      <w:r>
        <w:rPr>
          <w:rFonts w:hint="eastAsia"/>
          <w:lang w:val="zh-CN"/>
        </w:rPr>
        <w:t>（三）对《上海市建筑市场管理条例》的修改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5.增加一条，作为第五条：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建设项目实行统一代码制度。建设单位按照规定取得的项目代码，作为建设工程整个建设周期管理的统一身份标识。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6.将第十六条改为第十七条，第二款修改为：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发包单位不得将应当由一个承包单位完成的建设工程支解成若干部分发包给几个承包单位。市建设行政管理部门应当会同其他有关部门明确具体管理要求。</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7.将第三十五条改为第三十六条，增加一款，作为第三款：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对当年开工、当年不能竣工的新开工建设工程推行过程结算，经发包单位和承包单位确认的过程结算文件作为工程竣工结算文件的组成部分。</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8.将第四十五条改为第四十六条，增加一款，作为第二款：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建设行政管理部门和其他有关部门对承发包活动开展监督管理时，可以采取函询、风险警示等措施。</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9.增加一条，作为第四十七条：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本市建立健全建筑市场活动协同监管机制。发展改革、财政、审计、国资、规划资源、市场监管、公安、人力资源社会保障等行政管理部门应当按照职责，加强对建筑市场活动的协同监管。</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对于政府投资建设工程，发展改革、财政、审计、国资等行政管理部门按照职责，重点从资金落实情况审查、资金拨付、资金监管、审计监督以及国有企业经营业绩考核等方面，开展监督管理。</w:t>
      </w:r>
    </w:p>
    <w:p>
      <w:pPr>
        <w:pStyle w:val="8"/>
        <w:bidi w:val="0"/>
        <w:rPr>
          <w:rFonts w:hint="eastAsia"/>
          <w:lang w:val="zh-CN"/>
        </w:rPr>
      </w:pPr>
      <w:r>
        <w:rPr>
          <w:rFonts w:hint="eastAsia"/>
          <w:lang w:val="zh-CN"/>
        </w:rPr>
        <w:t>（四）对《上海市住宅物业管理规定》的修改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10.删去第二十条第二款中的“物业服务费或者”。</w:t>
      </w:r>
    </w:p>
    <w:p>
      <w:pPr>
        <w:pStyle w:val="8"/>
        <w:bidi w:val="0"/>
        <w:rPr>
          <w:rFonts w:hint="eastAsia"/>
          <w:lang w:val="zh-CN"/>
        </w:rPr>
      </w:pPr>
      <w:r>
        <w:rPr>
          <w:rFonts w:hint="eastAsia"/>
          <w:lang w:val="zh-CN"/>
        </w:rPr>
        <w:t>（五）对《上海市计量监督管理条例》的修改</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11.将第十二条修改为：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计量检定机构进行强制检定所使用的计量标准器具应当经市计量行政部门组织考核合格后方可使用。</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计量器具制造企业以及定量包装商品生产企业建立的本企业最高等级的计量标准器具的管理，按照国家有关规定执行。</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12.将第二十六条修改为：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开展计量器具校准或者计量鉴证业务的机构应当按照规范进行计量器具校准、计量鉴证。</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13.将第三十六条修改为：</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违反本条例第二十六条规定，给予警告，没收违法所得，并可处五千元以上五万元以下的罚款。</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此外，根据决定对相关法规的条文顺序和部分文字作相应调整。</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ascii="仿宋_GB2312" w:hAnsi="仿宋_GB2312" w:eastAsia="仿宋_GB2312" w:cs="仿宋_GB2312"/>
          <w:color w:val="000000"/>
          <w:sz w:val="32"/>
          <w:szCs w:val="32"/>
          <w:lang w:val="zh-CN"/>
        </w:rPr>
      </w:pPr>
      <w:r>
        <w:rPr>
          <w:rFonts w:hint="eastAsia" w:ascii="仿宋_GB2312" w:hAnsi="仿宋_GB2312" w:eastAsia="仿宋_GB2312" w:cs="仿宋_GB2312"/>
          <w:color w:val="000000"/>
          <w:sz w:val="32"/>
          <w:szCs w:val="32"/>
          <w:lang w:val="zh-CN"/>
        </w:rPr>
        <w:t>《上海市公共场所控制吸烟条例》《上海市建筑市场管理条例》《上海市住宅物业管理规定》《上海市河道管理条例》《上海市计量监督管理条例》根据本决定作相应修正后，重新公布。</w:t>
      </w:r>
    </w:p>
    <w:p>
      <w:pPr>
        <w:pStyle w:val="12"/>
        <w:bidi w:val="0"/>
        <w:rPr>
          <w:rFonts w:hint="eastAsia" w:ascii="仿宋_GB2312" w:hAnsi="仿宋_GB2312" w:eastAsia="仿宋_GB2312" w:cs="仿宋_GB2312"/>
          <w:color w:val="000000"/>
          <w:szCs w:val="32"/>
          <w:lang w:val="zh-CN"/>
        </w:rPr>
      </w:pPr>
      <w:r>
        <w:rPr>
          <w:rFonts w:hint="eastAsia"/>
          <w:lang w:val="zh-CN"/>
        </w:rPr>
        <w:t>二、废止2005年6月16日上海市第十二届人民代表大会常务委员会第二十次会议通过的《上海市企业名称登记管理规定》。</w:t>
      </w:r>
    </w:p>
    <w:p>
      <w:pPr>
        <w:keepNext w:val="0"/>
        <w:keepLines w:val="0"/>
        <w:pageBreakBefore w:val="0"/>
        <w:widowControl w:val="0"/>
        <w:kinsoku/>
        <w:wordWrap/>
        <w:overflowPunct/>
        <w:topLinePunct w:val="0"/>
        <w:autoSpaceDE/>
        <w:autoSpaceDN/>
        <w:bidi w:val="0"/>
        <w:adjustRightInd/>
        <w:snapToGrid/>
        <w:ind w:firstLine="622" w:firstLineChars="200"/>
        <w:textAlignment w:val="auto"/>
        <w:rPr>
          <w:rFonts w:hint="eastAsia"/>
          <w:lang w:val="zh-CN"/>
        </w:rPr>
      </w:pPr>
      <w:r>
        <w:rPr>
          <w:rFonts w:hint="eastAsia" w:ascii="仿宋_GB2312" w:hAnsi="仿宋_GB2312" w:eastAsia="仿宋_GB2312" w:cs="仿宋_GB2312"/>
          <w:color w:val="000000"/>
          <w:sz w:val="32"/>
          <w:szCs w:val="32"/>
          <w:lang w:val="zh-CN"/>
        </w:rPr>
        <w:t>本决定自2022年10月28日起施行。</w:t>
      </w:r>
    </w:p>
    <w:sectPr>
      <w:footerReference r:id="rId3" w:type="default"/>
      <w:footerReference r:id="rId4" w:type="even"/>
      <w:pgSz w:w="11906" w:h="16838"/>
      <w:pgMar w:top="2041" w:right="1531" w:bottom="2041" w:left="1531" w:header="720" w:footer="1587" w:gutter="0"/>
      <w:pgNumType w:fmt="numberInDash"/>
      <w:cols w:space="720" w:num="1"/>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M6pebnPAAAABQEAAA8AAAAAAAAAAQAgAAAAIgAAAGRycy9kb3ducmV2Lnht&#10;bFBLAQIUABQAAAAIAIdO4kAeYsykyQEAAJkDAAAOAAAAAAAAAAEAIAAAAB4BAABkcnMvZTJvRG9j&#10;LnhtbFBLBQYAAAAABgAGAFkBAABZBQAAAAA=&#10;">
              <v:fill on="f" focussize="0,0"/>
              <v:stroke on="f"/>
              <v:imagedata o:title=""/>
              <o:lock v:ext="edit" aspectratio="f"/>
              <v:textbox inset="0mm,0mm,0mm,0mm" style="mso-fit-shape-to-text:t;">
                <w:txbxContent>
                  <w:p>
                    <w:pPr>
                      <w:snapToGrid w:val="0"/>
                      <w:ind w:right="420" w:righ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- 1 -</w:t>
                    </w:r>
                    <w:r>
                      <w:rPr>
                        <w:rFonts w:hint="eastAsia" w:ascii="宋体" w:hAnsi="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mc:AlternateContent>
        <mc:Choice Requires="wps">
          <w:drawing>
            <wp:anchor distT="0" distB="0" distL="114300" distR="114300" simplePos="0" relativeHeight="251660288"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wps:txbx>
                    <wps:bodyPr wrap="none" lIns="0" tIns="0" rIns="0" bIns="0" upright="1">
                      <a:spAutoFit/>
                    </wps:bodyPr>
                  </wps:wsp>
                </a:graphicData>
              </a:graphic>
            </wp:anchor>
          </w:drawing>
        </mc:Choice>
        <mc:Fallback>
          <w:pict>
            <v:shape id="文本框 6" o:spid="_x0000_s1026" o:spt="202" type="#_x0000_t202" style="position:absolute;left:0pt;margin-top:0pt;height:144pt;width:144pt;mso-position-horizontal:outside;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zql5uc8AAAAFAQAADwAAAAAAAAABACAAAAAiAAAAZHJzL2Rvd25yZXYueG1s&#10;UEsBAhQAFAAAAAgAh07iQA7JFfzIAQAAmQMAAA4AAAAAAAAAAQAgAAAAHgEAAGRycy9lMm9Eb2Mu&#10;eG1sUEsFBgAAAAAGAAYAWQEAAFgFAAAAAA==&#10;">
              <v:fill on="f" focussize="0,0"/>
              <v:stroke on="f"/>
              <v:imagedata o:title=""/>
              <o:lock v:ext="edit" aspectratio="f"/>
              <v:textbox inset="0mm,0mm,0mm,0mm" style="mso-fit-shape-to-text:t;">
                <w:txbxContent>
                  <w:p>
                    <w:pPr>
                      <w:snapToGrid w:val="0"/>
                      <w:ind w:left="420" w:leftChars="200"/>
                      <w:rPr>
                        <w:rFonts w:ascii="宋体" w:hAnsi="宋体" w:cs="宋体"/>
                        <w:sz w:val="28"/>
                        <w:szCs w:val="28"/>
                      </w:rPr>
                    </w:pPr>
                    <w:r>
                      <w:rPr>
                        <w:rFonts w:hint="eastAsia" w:ascii="宋体" w:hAnsi="宋体" w:cs="宋体"/>
                        <w:sz w:val="28"/>
                        <w:szCs w:val="28"/>
                      </w:rPr>
                      <w:fldChar w:fldCharType="begin"/>
                    </w:r>
                    <w:r>
                      <w:rPr>
                        <w:rFonts w:hint="eastAsia" w:ascii="宋体" w:hAnsi="宋体" w:cs="宋体"/>
                        <w:sz w:val="28"/>
                        <w:szCs w:val="28"/>
                      </w:rPr>
                      <w:instrText xml:space="preserve"> PAGE  \* MERGEFORMAT </w:instrText>
                    </w:r>
                    <w:r>
                      <w:rPr>
                        <w:rFonts w:hint="eastAsia" w:ascii="宋体" w:hAnsi="宋体" w:cs="宋体"/>
                        <w:sz w:val="28"/>
                        <w:szCs w:val="28"/>
                      </w:rPr>
                      <w:fldChar w:fldCharType="separate"/>
                    </w:r>
                    <w:r>
                      <w:rPr>
                        <w:rFonts w:ascii="宋体" w:hAnsi="宋体" w:cs="宋体"/>
                        <w:sz w:val="28"/>
                        <w:szCs w:val="28"/>
                      </w:rPr>
                      <w:t>- 4 -</w:t>
                    </w:r>
                    <w:r>
                      <w:rPr>
                        <w:rFonts w:hint="eastAsia" w:ascii="宋体" w:hAnsi="宋体" w:cs="宋体"/>
                        <w:sz w:val="28"/>
                        <w:szCs w:val="28"/>
                      </w:rPr>
                      <w:fldChar w:fldCharType="end"/>
                    </w:r>
                  </w:p>
                </w:txbxContent>
              </v:textbox>
            </v:shape>
          </w:pict>
        </mc:Fallback>
      </mc:AlternateContent>
    </w:r>
    <w:r>
      <w:rPr>
        <w:rFonts w:hint="eastAsia"/>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evenAndOddHeaders w:val="1"/>
  <w:drawingGridHorizontalSpacing w:val="101"/>
  <w:drawingGridVerticalSpacing w:val="290"/>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BmZDBjMzNlN2QwN2YzMTIyZmU3YjE0YTUyZjg2OGYifQ=="/>
  </w:docVars>
  <w:rsids>
    <w:rsidRoot w:val="00172A27"/>
    <w:rsid w:val="00155C78"/>
    <w:rsid w:val="00172A27"/>
    <w:rsid w:val="004769A5"/>
    <w:rsid w:val="00505F10"/>
    <w:rsid w:val="005154D0"/>
    <w:rsid w:val="005D54A4"/>
    <w:rsid w:val="00817CE0"/>
    <w:rsid w:val="008344D8"/>
    <w:rsid w:val="008B01E4"/>
    <w:rsid w:val="0094614F"/>
    <w:rsid w:val="00AA212D"/>
    <w:rsid w:val="00C30F80"/>
    <w:rsid w:val="00C72F61"/>
    <w:rsid w:val="00CC3A44"/>
    <w:rsid w:val="00D8033C"/>
    <w:rsid w:val="00D9388D"/>
    <w:rsid w:val="00E96B71"/>
    <w:rsid w:val="00EB6747"/>
    <w:rsid w:val="00F04192"/>
    <w:rsid w:val="00F1577A"/>
    <w:rsid w:val="00F640E4"/>
    <w:rsid w:val="00FA492A"/>
    <w:rsid w:val="00FA55CC"/>
    <w:rsid w:val="00FD7E92"/>
    <w:rsid w:val="00FE25D3"/>
    <w:rsid w:val="02477BA8"/>
    <w:rsid w:val="038E0A38"/>
    <w:rsid w:val="045F12A5"/>
    <w:rsid w:val="06E561BD"/>
    <w:rsid w:val="0A3C789C"/>
    <w:rsid w:val="0EF83333"/>
    <w:rsid w:val="107D7767"/>
    <w:rsid w:val="16EC1D6E"/>
    <w:rsid w:val="186425C4"/>
    <w:rsid w:val="1D7809AA"/>
    <w:rsid w:val="23330B84"/>
    <w:rsid w:val="272D7F6C"/>
    <w:rsid w:val="289C72D7"/>
    <w:rsid w:val="2B81011C"/>
    <w:rsid w:val="2D5F2AA5"/>
    <w:rsid w:val="2E5D5D71"/>
    <w:rsid w:val="2EE90962"/>
    <w:rsid w:val="36691CE5"/>
    <w:rsid w:val="3AB71C4C"/>
    <w:rsid w:val="3AFB0FBF"/>
    <w:rsid w:val="3D293827"/>
    <w:rsid w:val="3EBB3CA5"/>
    <w:rsid w:val="405C5447"/>
    <w:rsid w:val="40606972"/>
    <w:rsid w:val="447006B6"/>
    <w:rsid w:val="473F275D"/>
    <w:rsid w:val="49985765"/>
    <w:rsid w:val="4A950C1B"/>
    <w:rsid w:val="4B5D4315"/>
    <w:rsid w:val="4C3A7713"/>
    <w:rsid w:val="4D8428FD"/>
    <w:rsid w:val="4EA33DE1"/>
    <w:rsid w:val="50C40791"/>
    <w:rsid w:val="50F8431D"/>
    <w:rsid w:val="544B5E8D"/>
    <w:rsid w:val="56EC1603"/>
    <w:rsid w:val="598B062E"/>
    <w:rsid w:val="5B88784E"/>
    <w:rsid w:val="5CBD283B"/>
    <w:rsid w:val="5D016C87"/>
    <w:rsid w:val="5E5B215B"/>
    <w:rsid w:val="61612B70"/>
    <w:rsid w:val="61EE56F2"/>
    <w:rsid w:val="669E614C"/>
    <w:rsid w:val="6B4C7713"/>
    <w:rsid w:val="6E3B1EAC"/>
    <w:rsid w:val="7017526E"/>
    <w:rsid w:val="74835EC7"/>
    <w:rsid w:val="74A52742"/>
    <w:rsid w:val="75D50F47"/>
    <w:rsid w:val="78006923"/>
    <w:rsid w:val="786623E1"/>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ascii="Calibri" w:hAnsi="Calibri" w:eastAsia="宋体" w:cs="Calibri"/>
      <w:kern w:val="2"/>
      <w:sz w:val="21"/>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5">
    <w:name w:val="Normal (Web)"/>
    <w:basedOn w:val="1"/>
    <w:qFormat/>
    <w:uiPriority w:val="0"/>
    <w:pPr>
      <w:widowControl w:val="0"/>
      <w:spacing w:before="100" w:beforeAutospacing="1" w:after="100" w:afterAutospacing="1"/>
      <w:jc w:val="left"/>
    </w:pPr>
    <w:rPr>
      <w:rFonts w:cs="Times New Roman"/>
      <w:kern w:val="0"/>
      <w:sz w:val="24"/>
      <w:szCs w:val="24"/>
    </w:rPr>
  </w:style>
  <w:style w:type="paragraph" w:customStyle="1" w:styleId="8">
    <w:name w:val="公文正文-楷"/>
    <w:link w:val="9"/>
    <w:qFormat/>
    <w:uiPriority w:val="0"/>
    <w:pPr>
      <w:widowControl w:val="0"/>
      <w:ind w:firstLine="622" w:firstLineChars="200"/>
    </w:pPr>
    <w:rPr>
      <w:rFonts w:ascii="楷体_GB2312" w:hAnsi="楷体_GB2312" w:eastAsia="楷体_GB2312" w:cs="Calibri"/>
      <w:sz w:val="32"/>
    </w:rPr>
  </w:style>
  <w:style w:type="character" w:customStyle="1" w:styleId="9">
    <w:name w:val="公文正文-楷 Char"/>
    <w:link w:val="8"/>
    <w:qFormat/>
    <w:uiPriority w:val="0"/>
    <w:rPr>
      <w:rFonts w:ascii="楷体_GB2312" w:hAnsi="楷体_GB2312" w:eastAsia="楷体_GB2312"/>
      <w:sz w:val="32"/>
    </w:rPr>
  </w:style>
  <w:style w:type="paragraph" w:customStyle="1" w:styleId="10">
    <w:name w:val="公文标题"/>
    <w:next w:val="1"/>
    <w:qFormat/>
    <w:uiPriority w:val="0"/>
    <w:pPr>
      <w:spacing w:line="240" w:lineRule="auto"/>
      <w:jc w:val="center"/>
    </w:pPr>
    <w:rPr>
      <w:rFonts w:ascii="宋体" w:hAnsi="宋体" w:eastAsia="宋体" w:cs="Calibri"/>
      <w:sz w:val="44"/>
    </w:rPr>
  </w:style>
  <w:style w:type="paragraph" w:customStyle="1" w:styleId="11">
    <w:name w:val="公文副标题"/>
    <w:basedOn w:val="1"/>
    <w:qFormat/>
    <w:uiPriority w:val="0"/>
    <w:pPr>
      <w:spacing w:line="240" w:lineRule="auto"/>
      <w:jc w:val="center"/>
    </w:pPr>
    <w:rPr>
      <w:rFonts w:ascii="楷体_GB2312" w:hAnsi="楷体_GB2312" w:eastAsia="楷体_GB2312"/>
      <w:sz w:val="32"/>
    </w:rPr>
  </w:style>
  <w:style w:type="paragraph" w:customStyle="1" w:styleId="12">
    <w:name w:val="公文一黑"/>
    <w:basedOn w:val="1"/>
    <w:link w:val="13"/>
    <w:qFormat/>
    <w:uiPriority w:val="0"/>
    <w:pPr>
      <w:ind w:firstLine="862" w:firstLineChars="200"/>
    </w:pPr>
    <w:rPr>
      <w:rFonts w:ascii="黑体" w:hAnsi="黑体" w:eastAsia="黑体"/>
      <w:sz w:val="32"/>
    </w:rPr>
  </w:style>
  <w:style w:type="character" w:customStyle="1" w:styleId="13">
    <w:name w:val="公文一黑 Char"/>
    <w:link w:val="12"/>
    <w:qFormat/>
    <w:uiPriority w:val="0"/>
    <w:rPr>
      <w:rFonts w:ascii="黑体" w:hAnsi="黑体" w:eastAsia="黑体"/>
      <w:sz w:val="32"/>
    </w:rPr>
  </w:style>
  <w:style w:type="paragraph" w:customStyle="1" w:styleId="14">
    <w:name w:val="公报-居中黑"/>
    <w:basedOn w:val="12"/>
    <w:qFormat/>
    <w:uiPriority w:val="0"/>
    <w:pPr>
      <w:ind w:firstLine="0" w:firstLineChars="0"/>
      <w:jc w:val="center"/>
    </w:pPr>
    <w:rPr>
      <w:rFonts w:ascii="黑体" w:hAnsi="黑体"/>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1480</Words>
  <Characters>1511</Characters>
  <Lines>16</Lines>
  <Paragraphs>4</Paragraphs>
  <TotalTime>4</TotalTime>
  <ScaleCrop>false</ScaleCrop>
  <LinksUpToDate>false</LinksUpToDate>
  <CharactersWithSpaces>1515</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諳語</cp:lastModifiedBy>
  <dcterms:modified xsi:type="dcterms:W3CDTF">2023-04-04T09:17:56Z</dcterms:modified>
  <dc:title>上海市法规文本报备</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50B90004048C44BDA73536928870EA02</vt:lpwstr>
  </property>
</Properties>
</file>