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云南省人民代表大会常务委员会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关于修改《云南省实行宪法宣誓制度</w:t>
      </w:r>
    </w:p>
    <w:p>
      <w:pPr>
        <w:jc w:val="center"/>
      </w:pPr>
      <w:r>
        <w:rPr>
          <w:rFonts w:ascii="宋体" w:hAnsi="宋体" w:eastAsia="宋体"/>
          <w:sz w:val="44"/>
        </w:rPr>
        <w:t>组织办法》的决定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（2018年5月30日云南省第十三届人民代表大会常务委员会第三次会议通过）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云南省第十三届人民代表大会常务委员会第三次会议决定对《云南省实行宪法宣誓制度组织办法》作如下修改：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一、</w:t>
      </w:r>
      <w:r>
        <w:rPr>
          <w:rFonts w:eastAsia="仿宋_GB2312"/>
          <w:sz w:val="32"/>
        </w:rPr>
        <w:t>在引言部分增加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为彰显宪法权威，激励和教育国家工作人员忠于宪法、遵守宪法、维护宪法，加强宪法实施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；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本省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修改为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云南省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二、</w:t>
      </w:r>
      <w:r>
        <w:rPr>
          <w:rFonts w:eastAsia="仿宋_GB2312"/>
          <w:sz w:val="32"/>
        </w:rPr>
        <w:t>在第一条中增加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监察委员会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；在第三条中增加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监察委员会主任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；在第四条中增加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监察委员会代理主任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；在第五条中增加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监察委员会副主任、委员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；在第七条中增加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监察委员会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三、</w:t>
      </w:r>
      <w:r>
        <w:rPr>
          <w:rFonts w:eastAsia="仿宋_GB2312"/>
          <w:sz w:val="32"/>
        </w:rPr>
        <w:t>将第二条中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为建设富强、民主、文明、和谐的社会主义国家努力奋斗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修改为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为建设富强民主文明和谐美丽的社会主义现代化强国努力奋斗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四、</w:t>
      </w:r>
      <w:r>
        <w:rPr>
          <w:rFonts w:eastAsia="仿宋_GB2312"/>
          <w:sz w:val="32"/>
        </w:rPr>
        <w:t>在第三条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宣誓仪式由本级人民代表大会会议主席团组织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后面增加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或者委托本级人民代表大会常务委员会组织。</w:t>
      </w:r>
      <w:r>
        <w:rPr>
          <w:rFonts w:hint="eastAsia"/>
          <w:sz w:val="3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五、</w:t>
      </w:r>
      <w:r>
        <w:rPr>
          <w:rFonts w:eastAsia="仿宋_GB2312"/>
          <w:sz w:val="32"/>
        </w:rPr>
        <w:t>将第六条中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省级的由省高级人民法院、省人民检察院分别组织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修改为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省级的由省人民代表大会常务委员会主任会议组织，省人大常委会选举联络工作委员会负责实施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六、</w:t>
      </w:r>
      <w:r>
        <w:rPr>
          <w:rFonts w:eastAsia="仿宋_GB2312"/>
          <w:sz w:val="32"/>
        </w:rPr>
        <w:t>在第八条第二款中增加</w:t>
      </w:r>
      <w:r>
        <w:rPr>
          <w:rFonts w:hint="eastAsia"/>
          <w:sz w:val="32"/>
          <w:lang w:eastAsia="zh-CN"/>
        </w:rPr>
        <w:t>“</w:t>
      </w:r>
      <w:r>
        <w:rPr>
          <w:rFonts w:eastAsia="仿宋_GB2312"/>
          <w:sz w:val="32"/>
        </w:rPr>
        <w:t>宣誓仪式应当奏唱中华人民共和国国歌</w:t>
      </w:r>
      <w:r>
        <w:rPr>
          <w:rFonts w:hint="eastAsia"/>
          <w:sz w:val="32"/>
          <w:lang w:eastAsia="zh-CN"/>
        </w:rPr>
        <w:t>”</w:t>
      </w:r>
      <w:r>
        <w:rPr>
          <w:rFonts w:eastAsia="仿宋_GB2312"/>
          <w:sz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eastAsia="仿宋_GB2312"/>
          <w:sz w:val="32"/>
        </w:rPr>
        <w:t>《云南省实行宪法宣誓制度组织办法》根据本决定作相应修改，重新公布。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47A47F6"/>
    <w:rsid w:val="16DC7373"/>
    <w:rsid w:val="344634A2"/>
    <w:rsid w:val="3DE63740"/>
    <w:rsid w:val="481351D2"/>
    <w:rsid w:val="53543565"/>
    <w:rsid w:val="558A062C"/>
    <w:rsid w:val="5D163DC9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2023-11-21T10:08:13Z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2052-12.1.0.15712</vt:lpwstr>
  </property>
</Properties>
</file>