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F61" w:rsidRPr="00EA6A1F" w:rsidRDefault="00203F61" w:rsidP="00B550AC">
      <w:pPr>
        <w:topLinePunct/>
        <w:adjustRightInd w:val="0"/>
        <w:snapToGrid w:val="0"/>
        <w:spacing w:line="592" w:lineRule="exact"/>
        <w:rPr>
          <w:rFonts w:ascii="宋体" w:eastAsia="方正小标宋简体" w:hAnsi="宋体" w:cs="方正小标宋简体"/>
          <w:sz w:val="44"/>
          <w:szCs w:val="44"/>
        </w:rPr>
      </w:pPr>
    </w:p>
    <w:p w:rsidR="00203F61" w:rsidRPr="00EA6A1F" w:rsidRDefault="00203F61" w:rsidP="00B550AC">
      <w:pPr>
        <w:topLinePunct/>
        <w:adjustRightInd w:val="0"/>
        <w:snapToGrid w:val="0"/>
        <w:spacing w:line="592" w:lineRule="exact"/>
        <w:ind w:left="1100" w:hangingChars="250" w:hanging="1100"/>
        <w:rPr>
          <w:rFonts w:ascii="宋体" w:eastAsia="方正小标宋简体" w:hAnsi="宋体" w:cs="方正小标宋简体"/>
          <w:sz w:val="44"/>
          <w:szCs w:val="44"/>
        </w:rPr>
      </w:pPr>
    </w:p>
    <w:p w:rsidR="00203F61" w:rsidRPr="00617A14" w:rsidRDefault="00203F61" w:rsidP="00B550AC">
      <w:pPr>
        <w:topLinePunct/>
        <w:adjustRightInd w:val="0"/>
        <w:snapToGrid w:val="0"/>
        <w:spacing w:line="592" w:lineRule="exact"/>
        <w:jc w:val="center"/>
        <w:rPr>
          <w:rFonts w:ascii="宋体"/>
          <w:snapToGrid w:val="0"/>
          <w:sz w:val="44"/>
          <w:szCs w:val="44"/>
        </w:rPr>
      </w:pPr>
      <w:r w:rsidRPr="00617A14">
        <w:rPr>
          <w:rFonts w:ascii="宋体" w:hAnsi="宋体" w:hint="eastAsia"/>
          <w:snapToGrid w:val="0"/>
          <w:sz w:val="44"/>
          <w:szCs w:val="44"/>
        </w:rPr>
        <w:t>云南省双江拉祜族佤族布朗族傣族自治县</w:t>
      </w:r>
    </w:p>
    <w:p w:rsidR="00203F61" w:rsidRPr="00617A14" w:rsidRDefault="00203F61" w:rsidP="00B550AC">
      <w:pPr>
        <w:topLinePunct/>
        <w:adjustRightInd w:val="0"/>
        <w:snapToGrid w:val="0"/>
        <w:spacing w:line="592" w:lineRule="exact"/>
        <w:jc w:val="center"/>
        <w:rPr>
          <w:rFonts w:ascii="宋体"/>
          <w:snapToGrid w:val="0"/>
          <w:sz w:val="44"/>
          <w:szCs w:val="44"/>
        </w:rPr>
      </w:pPr>
      <w:r w:rsidRPr="00617A14">
        <w:rPr>
          <w:rFonts w:ascii="宋体" w:hAnsi="宋体" w:hint="eastAsia"/>
          <w:snapToGrid w:val="0"/>
          <w:sz w:val="44"/>
          <w:szCs w:val="44"/>
        </w:rPr>
        <w:t>古茶树保护管理条例</w:t>
      </w:r>
    </w:p>
    <w:p w:rsidR="00203F61" w:rsidRDefault="00203F61" w:rsidP="00B550AC">
      <w:pPr>
        <w:adjustRightInd w:val="0"/>
        <w:snapToGrid w:val="0"/>
        <w:spacing w:line="592" w:lineRule="exact"/>
        <w:jc w:val="center"/>
        <w:rPr>
          <w:rFonts w:ascii="宋体" w:eastAsia="楷体_GB2312" w:hAnsi="宋体"/>
          <w:sz w:val="32"/>
          <w:szCs w:val="32"/>
        </w:rPr>
      </w:pPr>
    </w:p>
    <w:p w:rsidR="00203F61" w:rsidRPr="002631C8" w:rsidRDefault="00203F61" w:rsidP="009334DC">
      <w:pPr>
        <w:topLinePunct/>
        <w:adjustRightInd w:val="0"/>
        <w:snapToGrid w:val="0"/>
        <w:spacing w:line="592" w:lineRule="exact"/>
        <w:ind w:leftChars="200" w:left="420" w:rightChars="200" w:right="420"/>
        <w:rPr>
          <w:rFonts w:ascii="宋体" w:eastAsia="楷体_GB2312" w:hAnsi="宋体"/>
          <w:spacing w:val="-6"/>
          <w:sz w:val="32"/>
          <w:szCs w:val="32"/>
        </w:rPr>
      </w:pPr>
      <w:r w:rsidRPr="002631C8">
        <w:rPr>
          <w:rFonts w:ascii="宋体" w:eastAsia="楷体_GB2312" w:hAnsi="宋体" w:hint="eastAsia"/>
          <w:spacing w:val="-6"/>
          <w:sz w:val="32"/>
          <w:szCs w:val="32"/>
        </w:rPr>
        <w:t>（</w:t>
      </w:r>
      <w:r w:rsidRPr="002631C8">
        <w:rPr>
          <w:rFonts w:ascii="宋体" w:eastAsia="楷体_GB2312" w:hAnsi="宋体"/>
          <w:spacing w:val="-6"/>
          <w:sz w:val="32"/>
          <w:szCs w:val="32"/>
        </w:rPr>
        <w:t>2021</w:t>
      </w:r>
      <w:r w:rsidRPr="002631C8">
        <w:rPr>
          <w:rFonts w:ascii="宋体" w:eastAsia="楷体_GB2312" w:hAnsi="宋体" w:hint="eastAsia"/>
          <w:spacing w:val="-6"/>
          <w:sz w:val="32"/>
          <w:szCs w:val="32"/>
        </w:rPr>
        <w:t>年</w:t>
      </w:r>
      <w:r w:rsidRPr="002631C8">
        <w:rPr>
          <w:rFonts w:ascii="宋体" w:eastAsia="楷体_GB2312" w:hAnsi="宋体"/>
          <w:spacing w:val="-6"/>
          <w:sz w:val="32"/>
          <w:szCs w:val="32"/>
        </w:rPr>
        <w:t>2</w:t>
      </w:r>
      <w:r w:rsidRPr="002631C8">
        <w:rPr>
          <w:rFonts w:ascii="宋体" w:eastAsia="楷体_GB2312" w:hAnsi="宋体" w:hint="eastAsia"/>
          <w:spacing w:val="-6"/>
          <w:sz w:val="32"/>
          <w:szCs w:val="32"/>
        </w:rPr>
        <w:t>月</w:t>
      </w:r>
      <w:r w:rsidRPr="002631C8">
        <w:rPr>
          <w:rFonts w:ascii="宋体" w:eastAsia="楷体_GB2312" w:hAnsi="宋体"/>
          <w:spacing w:val="-6"/>
          <w:sz w:val="32"/>
          <w:szCs w:val="32"/>
        </w:rPr>
        <w:t>28</w:t>
      </w:r>
      <w:r w:rsidRPr="002631C8">
        <w:rPr>
          <w:rFonts w:ascii="宋体" w:eastAsia="楷体_GB2312" w:hAnsi="宋体" w:hint="eastAsia"/>
          <w:spacing w:val="-6"/>
          <w:sz w:val="32"/>
          <w:szCs w:val="32"/>
        </w:rPr>
        <w:t>日云南省双江拉祜族佤族布朗族傣族自治县第十六届人民代表大会第五次会议通过</w:t>
      </w:r>
      <w:r w:rsidRPr="002631C8">
        <w:rPr>
          <w:rFonts w:ascii="宋体" w:eastAsia="楷体_GB2312" w:hAnsi="宋体"/>
          <w:spacing w:val="-6"/>
          <w:sz w:val="32"/>
          <w:szCs w:val="32"/>
        </w:rPr>
        <w:t xml:space="preserve">  2021</w:t>
      </w:r>
      <w:r w:rsidRPr="002631C8">
        <w:rPr>
          <w:rFonts w:ascii="宋体" w:eastAsia="楷体_GB2312" w:hAnsi="宋体" w:hint="eastAsia"/>
          <w:spacing w:val="-6"/>
          <w:sz w:val="32"/>
          <w:szCs w:val="32"/>
        </w:rPr>
        <w:t>年</w:t>
      </w:r>
      <w:r w:rsidRPr="002631C8">
        <w:rPr>
          <w:rFonts w:ascii="宋体" w:eastAsia="楷体_GB2312" w:hAnsi="宋体"/>
          <w:spacing w:val="-6"/>
          <w:sz w:val="32"/>
          <w:szCs w:val="32"/>
        </w:rPr>
        <w:t>5</w:t>
      </w:r>
      <w:r w:rsidRPr="002631C8">
        <w:rPr>
          <w:rFonts w:ascii="宋体" w:eastAsia="楷体_GB2312" w:hAnsi="宋体" w:hint="eastAsia"/>
          <w:spacing w:val="-6"/>
          <w:sz w:val="32"/>
          <w:szCs w:val="32"/>
        </w:rPr>
        <w:t>月</w:t>
      </w:r>
      <w:r w:rsidRPr="002631C8">
        <w:rPr>
          <w:rFonts w:ascii="宋体" w:eastAsia="楷体_GB2312" w:hAnsi="宋体"/>
          <w:spacing w:val="-6"/>
          <w:sz w:val="32"/>
          <w:szCs w:val="32"/>
        </w:rPr>
        <w:t>28</w:t>
      </w:r>
      <w:r w:rsidRPr="002631C8">
        <w:rPr>
          <w:rFonts w:ascii="宋体" w:eastAsia="楷体_GB2312" w:hAnsi="宋体" w:hint="eastAsia"/>
          <w:spacing w:val="-6"/>
          <w:sz w:val="32"/>
          <w:szCs w:val="32"/>
        </w:rPr>
        <w:t>日云南省第十三届人民代表大会常务委员会第二十四次会议批准）</w:t>
      </w:r>
    </w:p>
    <w:p w:rsidR="00203F61" w:rsidRDefault="00203F61" w:rsidP="00B550AC">
      <w:pPr>
        <w:topLinePunct/>
        <w:adjustRightInd w:val="0"/>
        <w:snapToGrid w:val="0"/>
        <w:spacing w:line="592" w:lineRule="exact"/>
        <w:ind w:firstLineChars="200" w:firstLine="640"/>
        <w:rPr>
          <w:rFonts w:ascii="宋体" w:eastAsia="仿宋_GB2312" w:hAnsi="宋体"/>
          <w:snapToGrid w:val="0"/>
          <w:color w:val="000000"/>
          <w:sz w:val="32"/>
          <w:szCs w:val="32"/>
        </w:rPr>
      </w:pP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第一条</w:t>
      </w:r>
      <w:r w:rsidRPr="00832884">
        <w:rPr>
          <w:rFonts w:eastAsia="仿宋_GB2312"/>
          <w:sz w:val="32"/>
          <w:szCs w:val="32"/>
        </w:rPr>
        <w:t xml:space="preserve">  </w:t>
      </w:r>
      <w:r>
        <w:rPr>
          <w:rFonts w:ascii="宋体" w:eastAsia="仿宋_GB2312" w:hAnsi="宋体" w:hint="eastAsia"/>
          <w:sz w:val="32"/>
          <w:szCs w:val="32"/>
        </w:rPr>
        <w:t>为加强古茶树的保护，促进古茶树资源的合理开发利用，根据《中华人民共和国森林法》、《云南省珍贵树种保护条例》等有关法律法规，结合双江拉祜族佤族布朗族傣族自治县（以下简称自治县）实际，制定本条例。</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第二条</w:t>
      </w:r>
      <w:r w:rsidRPr="00832884">
        <w:rPr>
          <w:rFonts w:eastAsia="仿宋_GB2312"/>
          <w:sz w:val="32"/>
          <w:szCs w:val="32"/>
        </w:rPr>
        <w:t xml:space="preserve">  </w:t>
      </w:r>
      <w:r>
        <w:rPr>
          <w:rFonts w:ascii="宋体" w:eastAsia="仿宋_GB2312" w:hAnsi="宋体" w:hint="eastAsia"/>
          <w:sz w:val="32"/>
          <w:szCs w:val="32"/>
        </w:rPr>
        <w:t>在自治县行政区域内从事古茶树保护管理和开发利用的公民、法人和其他组织应当遵守本条例。</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第三条</w:t>
      </w:r>
      <w:r w:rsidRPr="00832884">
        <w:rPr>
          <w:rFonts w:eastAsia="仿宋_GB2312"/>
          <w:sz w:val="32"/>
          <w:szCs w:val="32"/>
        </w:rPr>
        <w:t xml:space="preserve">  </w:t>
      </w:r>
      <w:r>
        <w:rPr>
          <w:rFonts w:ascii="宋体" w:eastAsia="仿宋_GB2312" w:hAnsi="宋体" w:hint="eastAsia"/>
          <w:sz w:val="32"/>
          <w:szCs w:val="32"/>
        </w:rPr>
        <w:t>本条例所称古茶树，指分布于自治县行政区域内的野生型茶树、过渡型茶树、树龄在一百年以上的栽培型茶树。</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第四条</w:t>
      </w:r>
      <w:r w:rsidRPr="00832884">
        <w:rPr>
          <w:rFonts w:eastAsia="仿宋_GB2312"/>
          <w:sz w:val="32"/>
          <w:szCs w:val="32"/>
        </w:rPr>
        <w:t xml:space="preserve">  </w:t>
      </w:r>
      <w:r>
        <w:rPr>
          <w:rFonts w:ascii="宋体" w:eastAsia="仿宋_GB2312" w:hAnsi="宋体" w:hint="eastAsia"/>
          <w:sz w:val="32"/>
          <w:szCs w:val="32"/>
        </w:rPr>
        <w:t>自治县人民政府对分散的古茶树采取单株挂牌保护；对古茶山和古茶树集中区域划定保护管理范围，实行区域保护，具体范围由自治县人民政府划定，并将保护管理范围纳入国土空间规划。</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保护管理范围涉及自然保护区、森林公园的，按照自然保护区和森林公园保护管理的相关法律法规进行保护管理。</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第五条</w:t>
      </w:r>
      <w:r w:rsidRPr="00832884">
        <w:rPr>
          <w:rFonts w:eastAsia="仿宋_GB2312"/>
          <w:sz w:val="32"/>
          <w:szCs w:val="32"/>
        </w:rPr>
        <w:t xml:space="preserve">  </w:t>
      </w:r>
      <w:r>
        <w:rPr>
          <w:rFonts w:ascii="宋体" w:eastAsia="仿宋_GB2312" w:hAnsi="宋体" w:hint="eastAsia"/>
          <w:sz w:val="32"/>
          <w:szCs w:val="32"/>
        </w:rPr>
        <w:t>古茶树的保护管理和开发利用应当坚持保护优先、科学管理、合理利用的原则，兼顾生态效益、社会效益和经济效益的协调发展。</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第六条</w:t>
      </w:r>
      <w:r w:rsidRPr="00832884">
        <w:rPr>
          <w:rFonts w:eastAsia="仿宋_GB2312"/>
          <w:sz w:val="32"/>
          <w:szCs w:val="32"/>
        </w:rPr>
        <w:t xml:space="preserve">  </w:t>
      </w:r>
      <w:r>
        <w:rPr>
          <w:rFonts w:ascii="宋体" w:eastAsia="仿宋_GB2312" w:hAnsi="宋体" w:hint="eastAsia"/>
          <w:sz w:val="32"/>
          <w:szCs w:val="32"/>
        </w:rPr>
        <w:t>自治县人民政府应当加强对古茶树保护管理和开发利用，将其纳入当地国民经济和社会发展总体规划，所需经费列入年度财政预算，编制古茶树保护管理和开发利用相关规划，按程序报批后实施。</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自治县林草行政主管部门负责古茶树的保护管理工作，自治县农业农村行政主管部门负责古茶树的开发利用工作。自治县其他相关部门，按照各自职责，做好古茶树保护管理和开发利用工作。</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乡（镇）人民政府应当依法做好行政区域内古茶树的保护管理和开发利用工作。</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村（居）民委员会、社区应当协助做好辖区内古茶树保护管理工作。村（居）民委员会可以制定村规民约保护管理古茶树。</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第七条</w:t>
      </w:r>
      <w:r w:rsidRPr="00832884">
        <w:rPr>
          <w:rFonts w:eastAsia="仿宋_GB2312"/>
          <w:sz w:val="32"/>
          <w:szCs w:val="32"/>
        </w:rPr>
        <w:t xml:space="preserve">  </w:t>
      </w:r>
      <w:r>
        <w:rPr>
          <w:rFonts w:ascii="宋体" w:eastAsia="仿宋_GB2312" w:hAnsi="宋体" w:hint="eastAsia"/>
          <w:sz w:val="32"/>
          <w:szCs w:val="32"/>
        </w:rPr>
        <w:t>自治县林草行政主管部门保护管理古茶树的职责是：</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（一）宣传、贯彻、执行有关法律法规和本条例；</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（二）制定保护管理具体措施，报自治县人民政府批准后组织实施；</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（三）设立保护管理范围的界标、标识；</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（四）对古茶树资源进行调查、登记、监测并建立档案；</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（五）组织、协助对古茶树保护管理进行科学研究；</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（六）其他与古茶树保护有关的工作。</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第八条</w:t>
      </w:r>
      <w:r w:rsidRPr="00832884">
        <w:rPr>
          <w:rFonts w:eastAsia="仿宋_GB2312"/>
          <w:sz w:val="32"/>
          <w:szCs w:val="32"/>
        </w:rPr>
        <w:t xml:space="preserve">  </w:t>
      </w:r>
      <w:r>
        <w:rPr>
          <w:rFonts w:ascii="宋体" w:eastAsia="仿宋_GB2312" w:hAnsi="宋体" w:hint="eastAsia"/>
          <w:sz w:val="32"/>
          <w:szCs w:val="32"/>
        </w:rPr>
        <w:t>自治县人民政府设立古茶树保护管理专项资金，用于古茶树的保护管理和科学研究工作。</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资金主要来源：</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（一）县级财政预算安排的资金；</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（二）上级扶持资金；</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（三）社会捐赠和其他资金。</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第九条</w:t>
      </w:r>
      <w:r w:rsidRPr="00832884">
        <w:rPr>
          <w:rFonts w:eastAsia="仿宋_GB2312"/>
          <w:sz w:val="32"/>
          <w:szCs w:val="32"/>
        </w:rPr>
        <w:t xml:space="preserve">  </w:t>
      </w:r>
      <w:r>
        <w:rPr>
          <w:rFonts w:ascii="宋体" w:eastAsia="仿宋_GB2312" w:hAnsi="宋体" w:hint="eastAsia"/>
          <w:sz w:val="32"/>
          <w:szCs w:val="32"/>
        </w:rPr>
        <w:t>自</w:t>
      </w:r>
      <w:r>
        <w:rPr>
          <w:rFonts w:ascii="宋体" w:eastAsia="仿宋_GB2312" w:hAnsi="宋体" w:hint="eastAsia"/>
          <w:spacing w:val="4"/>
          <w:sz w:val="32"/>
          <w:szCs w:val="32"/>
        </w:rPr>
        <w:t>治县对行政区域内的古茶树建立登记保护名</w:t>
      </w:r>
      <w:r>
        <w:rPr>
          <w:rFonts w:ascii="宋体" w:eastAsia="仿宋_GB2312" w:hAnsi="宋体" w:hint="eastAsia"/>
          <w:sz w:val="32"/>
          <w:szCs w:val="32"/>
        </w:rPr>
        <w:t>录，实行分类分级管理。自治县林草行政主管部门会同产业发展等部门编制保护名录，开展古茶树管护技术培训和指导。</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第十条</w:t>
      </w:r>
      <w:r w:rsidRPr="00832884">
        <w:rPr>
          <w:rFonts w:eastAsia="仿宋_GB2312"/>
          <w:sz w:val="32"/>
          <w:szCs w:val="32"/>
        </w:rPr>
        <w:t xml:space="preserve">  </w:t>
      </w:r>
      <w:r>
        <w:rPr>
          <w:rFonts w:ascii="宋体" w:eastAsia="仿宋_GB2312" w:hAnsi="宋体" w:hint="eastAsia"/>
          <w:sz w:val="32"/>
          <w:szCs w:val="32"/>
        </w:rPr>
        <w:t>自治县人民政府应当加强以勐库（冰岛）为代表的古树茶产品知识产权的保护和管理，支持相关企业、个人通过申请注册商标、申请专利、采取防伪标识、电子信息管理等措施，保护古树茶产品的知识产权。</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自治县人民政府应当按照地理标志产品保护的有关规定，组织申请古树茶地理标志产品保护，引导符合条件的古树茶产品生产者申请使用地理标志产品专用标志。</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自治县人民政府应当建立古树茶产品的追溯体系，实现古树茶产品的全程可追溯。</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第十一条</w:t>
      </w:r>
      <w:r w:rsidRPr="00832884">
        <w:rPr>
          <w:rFonts w:eastAsia="仿宋_GB2312"/>
          <w:sz w:val="32"/>
          <w:szCs w:val="32"/>
        </w:rPr>
        <w:t xml:space="preserve">  </w:t>
      </w:r>
      <w:r>
        <w:rPr>
          <w:rFonts w:ascii="宋体" w:eastAsia="仿宋_GB2312" w:hAnsi="宋体" w:hint="eastAsia"/>
          <w:sz w:val="32"/>
          <w:szCs w:val="32"/>
        </w:rPr>
        <w:t>自治县人民政府鼓励以合资、合作、租赁、承包等方式共同开发利用古茶树。</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古茶树资产价值评估，应当由具备相应评估资质的评估机构进行。评估机构所需资质和评估具体办法，按国家和省有关规定执行。</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第十二条</w:t>
      </w:r>
      <w:r w:rsidRPr="00832884">
        <w:rPr>
          <w:rFonts w:eastAsia="仿宋_GB2312"/>
          <w:sz w:val="32"/>
          <w:szCs w:val="32"/>
        </w:rPr>
        <w:t xml:space="preserve">  </w:t>
      </w:r>
      <w:r>
        <w:rPr>
          <w:rFonts w:ascii="宋体" w:eastAsia="仿宋_GB2312" w:hAnsi="宋体" w:hint="eastAsia"/>
          <w:sz w:val="32"/>
          <w:szCs w:val="32"/>
        </w:rPr>
        <w:t>自治县人民政府鼓励和支持下列开发利用古茶树的行为：</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（一）利用古茶树种质资源培育新的茶品种；</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（二）利用县域内栽培型古茶树资源开发特色产品；</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（三）建立古树茶信息平台，开发自主知识产权的古树茶品牌，建立企业茶叶质量安全追溯体系，对古树茶产品实行信息追踪；</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（四）开展古茶树利用交流合作，挖掘古茶树历史文化，开发古茶树文化产品、旅游产品。</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第十三条</w:t>
      </w:r>
      <w:r w:rsidRPr="00832884">
        <w:rPr>
          <w:rFonts w:eastAsia="仿宋_GB2312"/>
          <w:sz w:val="32"/>
          <w:szCs w:val="32"/>
        </w:rPr>
        <w:t xml:space="preserve">  </w:t>
      </w:r>
      <w:r>
        <w:rPr>
          <w:rFonts w:ascii="宋体" w:eastAsia="仿宋_GB2312" w:hAnsi="宋体" w:hint="eastAsia"/>
          <w:sz w:val="32"/>
          <w:szCs w:val="32"/>
        </w:rPr>
        <w:t>古茶树保护管理范围内，禁止下列行为：</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（一）过度采摘古茶树等影响古茶树生长，引起古茶树生长退化的；</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（二）在古茶树保护管理范围内未批先建、批后加建、私搭乱建构筑物；</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（三）侵占和破坏古茶树种质资源；</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（四）有关法律法规禁止的其他行为。</w:t>
      </w:r>
    </w:p>
    <w:p w:rsidR="00203F61" w:rsidRPr="00832884" w:rsidRDefault="00203F61" w:rsidP="00B550AC">
      <w:pPr>
        <w:topLinePunct/>
        <w:adjustRightInd w:val="0"/>
        <w:snapToGrid w:val="0"/>
        <w:spacing w:line="592" w:lineRule="exact"/>
        <w:ind w:firstLineChars="200" w:firstLine="640"/>
        <w:rPr>
          <w:rFonts w:ascii="宋体" w:eastAsia="仿宋_GB2312" w:hAnsi="宋体"/>
          <w:spacing w:val="4"/>
          <w:sz w:val="32"/>
          <w:szCs w:val="32"/>
        </w:rPr>
      </w:pPr>
      <w:r>
        <w:rPr>
          <w:rFonts w:ascii="宋体" w:eastAsia="黑体" w:hAnsi="宋体" w:hint="eastAsia"/>
          <w:sz w:val="32"/>
          <w:szCs w:val="32"/>
        </w:rPr>
        <w:t>第十四条</w:t>
      </w:r>
      <w:r w:rsidRPr="00832884">
        <w:rPr>
          <w:rFonts w:eastAsia="仿宋_GB2312"/>
          <w:sz w:val="32"/>
          <w:szCs w:val="32"/>
        </w:rPr>
        <w:t xml:space="preserve">  </w:t>
      </w:r>
      <w:r w:rsidRPr="00832884">
        <w:rPr>
          <w:rFonts w:ascii="宋体" w:eastAsia="仿宋_GB2312" w:hAnsi="宋体" w:hint="eastAsia"/>
          <w:spacing w:val="4"/>
          <w:sz w:val="32"/>
          <w:szCs w:val="32"/>
        </w:rPr>
        <w:t>违反本条例规定的，由自治县相关行政主管部门依照有关法律法规规定予以处罚；构成犯罪的，依法追究刑事责任。</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黑体" w:hAnsi="宋体" w:hint="eastAsia"/>
          <w:sz w:val="32"/>
          <w:szCs w:val="32"/>
        </w:rPr>
        <w:t>第十五条</w:t>
      </w:r>
      <w:r w:rsidRPr="00832884">
        <w:rPr>
          <w:rFonts w:eastAsia="仿宋_GB2312"/>
          <w:sz w:val="32"/>
          <w:szCs w:val="32"/>
        </w:rPr>
        <w:t xml:space="preserve">  </w:t>
      </w:r>
      <w:r>
        <w:rPr>
          <w:rFonts w:ascii="宋体" w:eastAsia="仿宋_GB2312" w:hAnsi="宋体" w:hint="eastAsia"/>
          <w:sz w:val="32"/>
          <w:szCs w:val="32"/>
        </w:rPr>
        <w:t>本条例经自治县人民代表大会审议通过，报云南省人民代表大会常务委员会审议批准，由自治县人民代表大会常务委员会公布施行。</w:t>
      </w:r>
    </w:p>
    <w:p w:rsidR="00203F61" w:rsidRDefault="00203F61" w:rsidP="00B550AC">
      <w:pPr>
        <w:topLinePunct/>
        <w:adjustRightInd w:val="0"/>
        <w:snapToGrid w:val="0"/>
        <w:spacing w:line="592" w:lineRule="exact"/>
        <w:ind w:firstLineChars="200" w:firstLine="640"/>
        <w:rPr>
          <w:rFonts w:ascii="宋体" w:eastAsia="仿宋_GB2312" w:hAnsi="宋体"/>
          <w:sz w:val="32"/>
          <w:szCs w:val="32"/>
        </w:rPr>
      </w:pPr>
      <w:r>
        <w:rPr>
          <w:rFonts w:ascii="宋体" w:eastAsia="仿宋_GB2312" w:hAnsi="宋体" w:hint="eastAsia"/>
          <w:sz w:val="32"/>
          <w:szCs w:val="32"/>
        </w:rPr>
        <w:t>自治县人民政府应当根据本条例制定实施细则。</w:t>
      </w:r>
    </w:p>
    <w:p w:rsidR="00203F61" w:rsidRDefault="00203F61" w:rsidP="00B550AC">
      <w:pPr>
        <w:topLinePunct/>
        <w:adjustRightInd w:val="0"/>
        <w:snapToGrid w:val="0"/>
        <w:spacing w:line="592" w:lineRule="exact"/>
        <w:ind w:firstLineChars="200" w:firstLine="640"/>
        <w:rPr>
          <w:rFonts w:ascii="宋体" w:eastAsia="黑体" w:hAnsi="宋体"/>
          <w:bCs/>
          <w:sz w:val="32"/>
          <w:szCs w:val="32"/>
        </w:rPr>
      </w:pPr>
      <w:r>
        <w:rPr>
          <w:rFonts w:ascii="宋体" w:eastAsia="黑体" w:hAnsi="宋体" w:hint="eastAsia"/>
          <w:sz w:val="32"/>
          <w:szCs w:val="32"/>
        </w:rPr>
        <w:t>第十六条</w:t>
      </w:r>
      <w:r w:rsidRPr="00832884">
        <w:rPr>
          <w:rFonts w:eastAsia="仿宋_GB2312"/>
          <w:sz w:val="32"/>
          <w:szCs w:val="32"/>
        </w:rPr>
        <w:t xml:space="preserve">  </w:t>
      </w:r>
      <w:r>
        <w:rPr>
          <w:rFonts w:ascii="宋体" w:eastAsia="仿宋_GB2312" w:hAnsi="宋体" w:hint="eastAsia"/>
          <w:sz w:val="32"/>
          <w:szCs w:val="32"/>
        </w:rPr>
        <w:t>本条例由自治县人民代表大会常务委员会负责解释。</w:t>
      </w:r>
    </w:p>
    <w:sectPr w:rsidR="00203F61" w:rsidSect="00365521">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F61" w:rsidRDefault="00203F61">
      <w:r>
        <w:separator/>
      </w:r>
    </w:p>
  </w:endnote>
  <w:endnote w:type="continuationSeparator" w:id="0">
    <w:p w:rsidR="00203F61" w:rsidRDefault="00203F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微软雅黑"/>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F61" w:rsidRPr="00A206C4" w:rsidRDefault="00203F61" w:rsidP="00A206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F61" w:rsidRPr="00A206C4" w:rsidRDefault="00203F61" w:rsidP="00A20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F61" w:rsidRDefault="00203F61">
      <w:r>
        <w:separator/>
      </w:r>
    </w:p>
  </w:footnote>
  <w:footnote w:type="continuationSeparator" w:id="0">
    <w:p w:rsidR="00203F61" w:rsidRDefault="00203F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6C3"/>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5E7"/>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3F61"/>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A56"/>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3C31"/>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5521"/>
    <w:rsid w:val="003666BA"/>
    <w:rsid w:val="0036722A"/>
    <w:rsid w:val="00370591"/>
    <w:rsid w:val="0037181D"/>
    <w:rsid w:val="003722AD"/>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68A"/>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0E81"/>
    <w:rsid w:val="004811DF"/>
    <w:rsid w:val="00481476"/>
    <w:rsid w:val="00482BB9"/>
    <w:rsid w:val="00483678"/>
    <w:rsid w:val="004837A0"/>
    <w:rsid w:val="0048391D"/>
    <w:rsid w:val="00484826"/>
    <w:rsid w:val="00484BE5"/>
    <w:rsid w:val="00485315"/>
    <w:rsid w:val="004867A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987"/>
    <w:rsid w:val="004B4E6F"/>
    <w:rsid w:val="004B5066"/>
    <w:rsid w:val="004B609C"/>
    <w:rsid w:val="004B630E"/>
    <w:rsid w:val="004B63A0"/>
    <w:rsid w:val="004B668D"/>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4D94"/>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5251"/>
    <w:rsid w:val="00585D13"/>
    <w:rsid w:val="00586DD0"/>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17A14"/>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5EA"/>
    <w:rsid w:val="007A5A6F"/>
    <w:rsid w:val="007A63E9"/>
    <w:rsid w:val="007A6950"/>
    <w:rsid w:val="007A7041"/>
    <w:rsid w:val="007A7181"/>
    <w:rsid w:val="007A7A48"/>
    <w:rsid w:val="007A7E07"/>
    <w:rsid w:val="007B0157"/>
    <w:rsid w:val="007B016F"/>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2884"/>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3852"/>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A8C"/>
    <w:rsid w:val="00A10E84"/>
    <w:rsid w:val="00A11D17"/>
    <w:rsid w:val="00A122A2"/>
    <w:rsid w:val="00A12CAB"/>
    <w:rsid w:val="00A13BAC"/>
    <w:rsid w:val="00A14BEF"/>
    <w:rsid w:val="00A14D12"/>
    <w:rsid w:val="00A14EA3"/>
    <w:rsid w:val="00A15BED"/>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3DA"/>
    <w:rsid w:val="00B36D64"/>
    <w:rsid w:val="00B37254"/>
    <w:rsid w:val="00B3776E"/>
    <w:rsid w:val="00B37DA8"/>
    <w:rsid w:val="00B40A18"/>
    <w:rsid w:val="00B41B00"/>
    <w:rsid w:val="00B420DC"/>
    <w:rsid w:val="00B42F3A"/>
    <w:rsid w:val="00B44A40"/>
    <w:rsid w:val="00B44D85"/>
    <w:rsid w:val="00B4525F"/>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0AC"/>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285"/>
    <w:rsid w:val="00E16333"/>
    <w:rsid w:val="00E16D54"/>
    <w:rsid w:val="00E1769D"/>
    <w:rsid w:val="00E17AA7"/>
    <w:rsid w:val="00E17DE7"/>
    <w:rsid w:val="00E202AD"/>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DAE"/>
    <w:rPr>
      <w:b/>
      <w:bCs/>
      <w:kern w:val="44"/>
      <w:sz w:val="44"/>
      <w:szCs w:val="44"/>
    </w:rPr>
  </w:style>
  <w:style w:type="character" w:customStyle="1" w:styleId="Heading2Char">
    <w:name w:val="Heading 2 Char"/>
    <w:basedOn w:val="DefaultParagraphFont"/>
    <w:link w:val="Heading2"/>
    <w:uiPriority w:val="9"/>
    <w:semiHidden/>
    <w:rsid w:val="00A92DA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92DAE"/>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A92DAE"/>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A92DAE"/>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A92DAE"/>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92DAE"/>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A92DAE"/>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92DAE"/>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A92DAE"/>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A92DAE"/>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A92DAE"/>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A92DAE"/>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A92DAE"/>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s>
</file>

<file path=word/webSettings.xml><?xml version="1.0" encoding="utf-8"?>
<w:webSettings xmlns:r="http://schemas.openxmlformats.org/officeDocument/2006/relationships" xmlns:w="http://schemas.openxmlformats.org/wordprocessingml/2006/main">
  <w:divs>
    <w:div w:id="749694192">
      <w:marLeft w:val="0"/>
      <w:marRight w:val="0"/>
      <w:marTop w:val="0"/>
      <w:marBottom w:val="0"/>
      <w:divBdr>
        <w:top w:val="none" w:sz="0" w:space="0" w:color="auto"/>
        <w:left w:val="none" w:sz="0" w:space="0" w:color="auto"/>
        <w:bottom w:val="none" w:sz="0" w:space="0" w:color="auto"/>
        <w:right w:val="none" w:sz="0" w:space="0" w:color="auto"/>
      </w:divBdr>
    </w:div>
    <w:div w:id="749694193">
      <w:marLeft w:val="0"/>
      <w:marRight w:val="0"/>
      <w:marTop w:val="0"/>
      <w:marBottom w:val="0"/>
      <w:divBdr>
        <w:top w:val="none" w:sz="0" w:space="0" w:color="auto"/>
        <w:left w:val="none" w:sz="0" w:space="0" w:color="auto"/>
        <w:bottom w:val="none" w:sz="0" w:space="0" w:color="auto"/>
        <w:right w:val="none" w:sz="0" w:space="0" w:color="auto"/>
      </w:divBdr>
    </w:div>
    <w:div w:id="749694194">
      <w:marLeft w:val="0"/>
      <w:marRight w:val="0"/>
      <w:marTop w:val="0"/>
      <w:marBottom w:val="0"/>
      <w:divBdr>
        <w:top w:val="none" w:sz="0" w:space="0" w:color="auto"/>
        <w:left w:val="none" w:sz="0" w:space="0" w:color="auto"/>
        <w:bottom w:val="none" w:sz="0" w:space="0" w:color="auto"/>
        <w:right w:val="none" w:sz="0" w:space="0" w:color="auto"/>
      </w:divBdr>
    </w:div>
    <w:div w:id="749694195">
      <w:marLeft w:val="0"/>
      <w:marRight w:val="0"/>
      <w:marTop w:val="0"/>
      <w:marBottom w:val="0"/>
      <w:divBdr>
        <w:top w:val="none" w:sz="0" w:space="0" w:color="auto"/>
        <w:left w:val="none" w:sz="0" w:space="0" w:color="auto"/>
        <w:bottom w:val="none" w:sz="0" w:space="0" w:color="auto"/>
        <w:right w:val="none" w:sz="0" w:space="0" w:color="auto"/>
      </w:divBdr>
    </w:div>
    <w:div w:id="749694196">
      <w:marLeft w:val="0"/>
      <w:marRight w:val="0"/>
      <w:marTop w:val="0"/>
      <w:marBottom w:val="0"/>
      <w:divBdr>
        <w:top w:val="none" w:sz="0" w:space="0" w:color="auto"/>
        <w:left w:val="none" w:sz="0" w:space="0" w:color="auto"/>
        <w:bottom w:val="none" w:sz="0" w:space="0" w:color="auto"/>
        <w:right w:val="none" w:sz="0" w:space="0" w:color="auto"/>
      </w:divBdr>
    </w:div>
    <w:div w:id="749694197">
      <w:marLeft w:val="0"/>
      <w:marRight w:val="0"/>
      <w:marTop w:val="0"/>
      <w:marBottom w:val="0"/>
      <w:divBdr>
        <w:top w:val="none" w:sz="0" w:space="0" w:color="auto"/>
        <w:left w:val="none" w:sz="0" w:space="0" w:color="auto"/>
        <w:bottom w:val="none" w:sz="0" w:space="0" w:color="auto"/>
        <w:right w:val="none" w:sz="0" w:space="0" w:color="auto"/>
      </w:divBdr>
    </w:div>
    <w:div w:id="749694198">
      <w:marLeft w:val="0"/>
      <w:marRight w:val="0"/>
      <w:marTop w:val="0"/>
      <w:marBottom w:val="0"/>
      <w:divBdr>
        <w:top w:val="none" w:sz="0" w:space="0" w:color="auto"/>
        <w:left w:val="none" w:sz="0" w:space="0" w:color="auto"/>
        <w:bottom w:val="none" w:sz="0" w:space="0" w:color="auto"/>
        <w:right w:val="none" w:sz="0" w:space="0" w:color="auto"/>
      </w:divBdr>
    </w:div>
    <w:div w:id="7496941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286</Words>
  <Characters>1632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2021-06-29T07:05:00Z</cp:lastPrinted>
  <dcterms:created xsi:type="dcterms:W3CDTF">2021-07-11T00:50:00Z</dcterms:created>
  <dcterms:modified xsi:type="dcterms:W3CDTF">2021-07-11T00:50:00Z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