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D378F">
      <w:pPr>
        <w:topLinePunct/>
        <w:adjustRightInd w:val="0"/>
        <w:snapToGrid w:val="0"/>
        <w:spacing w:line="560" w:lineRule="exact"/>
        <w:rPr>
          <w:rFonts w:eastAsia="仿宋_GB2312" w:hint="eastAsia"/>
          <w:snapToGrid w:val="0"/>
          <w:color w:val="000000"/>
          <w:sz w:val="32"/>
          <w:szCs w:val="32"/>
        </w:rPr>
      </w:pPr>
    </w:p>
    <w:p w:rsidR="00000000" w:rsidRDefault="008D378F">
      <w:pPr>
        <w:topLinePunct/>
        <w:adjustRightInd w:val="0"/>
        <w:snapToGrid w:val="0"/>
        <w:spacing w:line="592" w:lineRule="exact"/>
        <w:jc w:val="center"/>
        <w:rPr>
          <w:rFonts w:eastAsia="仿宋_GB2312" w:hint="eastAsia"/>
          <w:snapToGrid w:val="0"/>
          <w:color w:val="000000"/>
          <w:sz w:val="32"/>
          <w:szCs w:val="32"/>
        </w:rPr>
      </w:pPr>
    </w:p>
    <w:p w:rsidR="00000000" w:rsidRDefault="008D378F">
      <w:pPr>
        <w:topLinePunct/>
        <w:adjustRightInd w:val="0"/>
        <w:snapToGrid w:val="0"/>
        <w:spacing w:line="592" w:lineRule="exact"/>
        <w:jc w:val="center"/>
        <w:rPr>
          <w:rFonts w:ascii="宋体" w:hAnsi="宋体" w:hint="eastAsia"/>
          <w:bCs/>
          <w:snapToGrid w:val="0"/>
          <w:color w:val="000000"/>
          <w:spacing w:val="-14"/>
          <w:sz w:val="44"/>
          <w:szCs w:val="44"/>
        </w:rPr>
      </w:pPr>
      <w:r>
        <w:rPr>
          <w:rFonts w:ascii="宋体" w:hAnsi="宋体" w:hint="eastAsia"/>
          <w:bCs/>
          <w:snapToGrid w:val="0"/>
          <w:color w:val="000000"/>
          <w:spacing w:val="-14"/>
          <w:sz w:val="44"/>
          <w:szCs w:val="44"/>
        </w:rPr>
        <w:t>文山壮族苗族自治州河道管理条例</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p>
    <w:p w:rsidR="00000000" w:rsidRDefault="008D378F">
      <w:pPr>
        <w:topLinePunct/>
        <w:adjustRightInd w:val="0"/>
        <w:snapToGrid w:val="0"/>
        <w:spacing w:line="592" w:lineRule="exact"/>
        <w:ind w:leftChars="200" w:left="420" w:rightChars="200" w:right="420"/>
        <w:rPr>
          <w:rFonts w:eastAsia="楷体_GB2312"/>
          <w:snapToGrid w:val="0"/>
          <w:color w:val="000000"/>
          <w:sz w:val="32"/>
          <w:szCs w:val="32"/>
        </w:rPr>
      </w:pPr>
      <w:r>
        <w:rPr>
          <w:rFonts w:eastAsia="楷体_GB2312"/>
          <w:snapToGrid w:val="0"/>
          <w:color w:val="000000"/>
          <w:sz w:val="32"/>
          <w:szCs w:val="32"/>
        </w:rPr>
        <w:t>（</w:t>
      </w:r>
      <w:r>
        <w:rPr>
          <w:rFonts w:eastAsia="楷体_GB2312"/>
          <w:snapToGrid w:val="0"/>
          <w:color w:val="000000"/>
          <w:sz w:val="32"/>
          <w:szCs w:val="32"/>
        </w:rPr>
        <w:t>2016</w:t>
      </w:r>
      <w:r>
        <w:rPr>
          <w:rFonts w:eastAsia="楷体_GB2312"/>
          <w:snapToGrid w:val="0"/>
          <w:color w:val="000000"/>
          <w:sz w:val="32"/>
          <w:szCs w:val="32"/>
        </w:rPr>
        <w:t>年</w:t>
      </w:r>
      <w:r>
        <w:rPr>
          <w:rFonts w:eastAsia="楷体_GB2312"/>
          <w:snapToGrid w:val="0"/>
          <w:color w:val="000000"/>
          <w:sz w:val="32"/>
          <w:szCs w:val="32"/>
        </w:rPr>
        <w:t>8</w:t>
      </w:r>
      <w:r>
        <w:rPr>
          <w:rFonts w:eastAsia="楷体_GB2312"/>
          <w:snapToGrid w:val="0"/>
          <w:color w:val="000000"/>
          <w:sz w:val="32"/>
          <w:szCs w:val="32"/>
        </w:rPr>
        <w:t>月</w:t>
      </w:r>
      <w:r>
        <w:rPr>
          <w:rFonts w:eastAsia="楷体_GB2312"/>
          <w:snapToGrid w:val="0"/>
          <w:color w:val="000000"/>
          <w:sz w:val="32"/>
          <w:szCs w:val="32"/>
        </w:rPr>
        <w:t>24</w:t>
      </w:r>
      <w:r>
        <w:rPr>
          <w:rFonts w:eastAsia="楷体_GB2312"/>
          <w:snapToGrid w:val="0"/>
          <w:color w:val="000000"/>
          <w:sz w:val="32"/>
          <w:szCs w:val="32"/>
        </w:rPr>
        <w:t>日文山壮族苗族自治州第十三届人民代表大会常务委员会第三十二次会议通过</w:t>
      </w:r>
      <w:r>
        <w:rPr>
          <w:rFonts w:eastAsia="楷体_GB2312"/>
          <w:snapToGrid w:val="0"/>
          <w:color w:val="000000"/>
          <w:sz w:val="32"/>
          <w:szCs w:val="32"/>
        </w:rPr>
        <w:t xml:space="preserve">  2016</w:t>
      </w:r>
      <w:r>
        <w:rPr>
          <w:rFonts w:eastAsia="楷体_GB2312"/>
          <w:snapToGrid w:val="0"/>
          <w:color w:val="000000"/>
          <w:sz w:val="32"/>
          <w:szCs w:val="32"/>
        </w:rPr>
        <w:t>年</w:t>
      </w:r>
      <w:r>
        <w:rPr>
          <w:rFonts w:eastAsia="楷体_GB2312"/>
          <w:snapToGrid w:val="0"/>
          <w:color w:val="000000"/>
          <w:sz w:val="32"/>
          <w:szCs w:val="32"/>
        </w:rPr>
        <w:t>9</w:t>
      </w:r>
      <w:r>
        <w:rPr>
          <w:rFonts w:eastAsia="楷体_GB2312"/>
          <w:snapToGrid w:val="0"/>
          <w:color w:val="000000"/>
          <w:sz w:val="32"/>
          <w:szCs w:val="32"/>
        </w:rPr>
        <w:t>月</w:t>
      </w:r>
      <w:r>
        <w:rPr>
          <w:rFonts w:eastAsia="楷体_GB2312"/>
          <w:snapToGrid w:val="0"/>
          <w:color w:val="000000"/>
          <w:sz w:val="32"/>
          <w:szCs w:val="32"/>
        </w:rPr>
        <w:t>29</w:t>
      </w:r>
      <w:r>
        <w:rPr>
          <w:rFonts w:eastAsia="楷体_GB2312"/>
          <w:snapToGrid w:val="0"/>
          <w:color w:val="000000"/>
          <w:sz w:val="32"/>
          <w:szCs w:val="32"/>
        </w:rPr>
        <w:t>日云南省第十二届人民代表大会常务委员会第二十九次会议批准）</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p>
    <w:p w:rsidR="00000000" w:rsidRDefault="008D378F">
      <w:pPr>
        <w:topLinePunct/>
        <w:adjustRightInd w:val="0"/>
        <w:snapToGrid w:val="0"/>
        <w:spacing w:line="592" w:lineRule="exact"/>
        <w:jc w:val="center"/>
        <w:rPr>
          <w:rFonts w:ascii="楷体_GB2312" w:eastAsia="楷体_GB2312" w:hAnsi="楷体_GB2312" w:cs="楷体_GB2312" w:hint="eastAsia"/>
          <w:snapToGrid w:val="0"/>
          <w:color w:val="000000"/>
          <w:sz w:val="32"/>
          <w:szCs w:val="32"/>
        </w:rPr>
      </w:pPr>
      <w:r>
        <w:rPr>
          <w:rFonts w:ascii="楷体_GB2312" w:eastAsia="楷体_GB2312" w:hAnsi="楷体_GB2312" w:cs="楷体_GB2312" w:hint="eastAsia"/>
          <w:snapToGrid w:val="0"/>
          <w:color w:val="000000"/>
          <w:sz w:val="32"/>
          <w:szCs w:val="32"/>
        </w:rPr>
        <w:t>目</w:t>
      </w:r>
      <w:r>
        <w:rPr>
          <w:rFonts w:ascii="楷体_GB2312" w:eastAsia="楷体_GB2312" w:hAnsi="楷体_GB2312" w:cs="楷体_GB2312" w:hint="eastAsia"/>
          <w:snapToGrid w:val="0"/>
          <w:color w:val="000000"/>
          <w:sz w:val="32"/>
          <w:szCs w:val="32"/>
        </w:rPr>
        <w:t xml:space="preserve">    </w:t>
      </w:r>
      <w:r>
        <w:rPr>
          <w:rFonts w:ascii="楷体_GB2312" w:eastAsia="楷体_GB2312" w:hAnsi="楷体_GB2312" w:cs="楷体_GB2312" w:hint="eastAsia"/>
          <w:snapToGrid w:val="0"/>
          <w:color w:val="000000"/>
          <w:sz w:val="32"/>
          <w:szCs w:val="32"/>
        </w:rPr>
        <w:t>录</w:t>
      </w:r>
    </w:p>
    <w:p w:rsidR="00000000" w:rsidRDefault="008D378F">
      <w:pPr>
        <w:topLinePunct/>
        <w:adjustRightInd w:val="0"/>
        <w:snapToGrid w:val="0"/>
        <w:spacing w:line="592" w:lineRule="exact"/>
        <w:ind w:firstLineChars="200" w:firstLine="640"/>
        <w:rPr>
          <w:rFonts w:ascii="楷体_GB2312" w:eastAsia="楷体_GB2312" w:hAnsi="楷体_GB2312" w:cs="楷体_GB2312" w:hint="eastAsia"/>
          <w:snapToGrid w:val="0"/>
          <w:color w:val="000000"/>
          <w:sz w:val="32"/>
          <w:szCs w:val="32"/>
        </w:rPr>
      </w:pPr>
      <w:r>
        <w:rPr>
          <w:rFonts w:ascii="楷体_GB2312" w:eastAsia="楷体_GB2312" w:hAnsi="楷体_GB2312" w:cs="楷体_GB2312" w:hint="eastAsia"/>
          <w:snapToGrid w:val="0"/>
          <w:color w:val="000000"/>
          <w:sz w:val="32"/>
          <w:szCs w:val="32"/>
        </w:rPr>
        <w:t>第一章</w:t>
      </w:r>
      <w:r>
        <w:rPr>
          <w:rFonts w:ascii="楷体_GB2312" w:eastAsia="楷体_GB2312" w:hAnsi="楷体_GB2312" w:cs="楷体_GB2312" w:hint="eastAsia"/>
          <w:snapToGrid w:val="0"/>
          <w:color w:val="000000"/>
          <w:sz w:val="32"/>
          <w:szCs w:val="32"/>
        </w:rPr>
        <w:t xml:space="preserve">  </w:t>
      </w:r>
      <w:r>
        <w:rPr>
          <w:rFonts w:ascii="楷体_GB2312" w:eastAsia="楷体_GB2312" w:hAnsi="楷体_GB2312" w:cs="楷体_GB2312" w:hint="eastAsia"/>
          <w:snapToGrid w:val="0"/>
          <w:color w:val="000000"/>
          <w:sz w:val="32"/>
          <w:szCs w:val="32"/>
        </w:rPr>
        <w:t>总则</w:t>
      </w:r>
    </w:p>
    <w:p w:rsidR="00000000" w:rsidRDefault="008D378F">
      <w:pPr>
        <w:topLinePunct/>
        <w:adjustRightInd w:val="0"/>
        <w:snapToGrid w:val="0"/>
        <w:spacing w:line="592" w:lineRule="exact"/>
        <w:ind w:firstLineChars="200" w:firstLine="640"/>
        <w:rPr>
          <w:rFonts w:ascii="楷体_GB2312" w:eastAsia="楷体_GB2312" w:hAnsi="楷体_GB2312" w:cs="楷体_GB2312" w:hint="eastAsia"/>
          <w:snapToGrid w:val="0"/>
          <w:color w:val="000000"/>
          <w:sz w:val="32"/>
          <w:szCs w:val="32"/>
        </w:rPr>
      </w:pPr>
      <w:r>
        <w:rPr>
          <w:rFonts w:ascii="楷体_GB2312" w:eastAsia="楷体_GB2312" w:hAnsi="楷体_GB2312" w:cs="楷体_GB2312" w:hint="eastAsia"/>
          <w:snapToGrid w:val="0"/>
          <w:color w:val="000000"/>
          <w:sz w:val="32"/>
          <w:szCs w:val="32"/>
        </w:rPr>
        <w:t>第二章</w:t>
      </w:r>
      <w:r>
        <w:rPr>
          <w:rFonts w:ascii="楷体_GB2312" w:eastAsia="楷体_GB2312" w:hAnsi="楷体_GB2312" w:cs="楷体_GB2312" w:hint="eastAsia"/>
          <w:snapToGrid w:val="0"/>
          <w:color w:val="000000"/>
          <w:sz w:val="32"/>
          <w:szCs w:val="32"/>
        </w:rPr>
        <w:t xml:space="preserve">  </w:t>
      </w:r>
      <w:r>
        <w:rPr>
          <w:rFonts w:ascii="楷体_GB2312" w:eastAsia="楷体_GB2312" w:hAnsi="楷体_GB2312" w:cs="楷体_GB2312" w:hint="eastAsia"/>
          <w:snapToGrid w:val="0"/>
          <w:color w:val="000000"/>
          <w:sz w:val="32"/>
          <w:szCs w:val="32"/>
        </w:rPr>
        <w:t>保护与监督</w:t>
      </w:r>
    </w:p>
    <w:p w:rsidR="00000000" w:rsidRDefault="008D378F">
      <w:pPr>
        <w:topLinePunct/>
        <w:adjustRightInd w:val="0"/>
        <w:snapToGrid w:val="0"/>
        <w:spacing w:line="592" w:lineRule="exact"/>
        <w:ind w:firstLineChars="200" w:firstLine="640"/>
        <w:rPr>
          <w:rFonts w:ascii="楷体_GB2312" w:eastAsia="楷体_GB2312" w:hAnsi="楷体_GB2312" w:cs="楷体_GB2312" w:hint="eastAsia"/>
          <w:snapToGrid w:val="0"/>
          <w:color w:val="000000"/>
          <w:sz w:val="32"/>
          <w:szCs w:val="32"/>
        </w:rPr>
      </w:pPr>
      <w:r>
        <w:rPr>
          <w:rFonts w:ascii="楷体_GB2312" w:eastAsia="楷体_GB2312" w:hAnsi="楷体_GB2312" w:cs="楷体_GB2312" w:hint="eastAsia"/>
          <w:snapToGrid w:val="0"/>
          <w:color w:val="000000"/>
          <w:sz w:val="32"/>
          <w:szCs w:val="32"/>
        </w:rPr>
        <w:t>第三章</w:t>
      </w:r>
      <w:r>
        <w:rPr>
          <w:rFonts w:ascii="楷体_GB2312" w:eastAsia="楷体_GB2312" w:hAnsi="楷体_GB2312" w:cs="楷体_GB2312" w:hint="eastAsia"/>
          <w:snapToGrid w:val="0"/>
          <w:color w:val="000000"/>
          <w:sz w:val="32"/>
          <w:szCs w:val="32"/>
        </w:rPr>
        <w:t xml:space="preserve">  </w:t>
      </w:r>
      <w:r>
        <w:rPr>
          <w:rFonts w:ascii="楷体_GB2312" w:eastAsia="楷体_GB2312" w:hAnsi="楷体_GB2312" w:cs="楷体_GB2312" w:hint="eastAsia"/>
          <w:snapToGrid w:val="0"/>
          <w:color w:val="000000"/>
          <w:sz w:val="32"/>
          <w:szCs w:val="32"/>
        </w:rPr>
        <w:t>规划与建设</w:t>
      </w:r>
    </w:p>
    <w:p w:rsidR="00000000" w:rsidRDefault="008D378F">
      <w:pPr>
        <w:topLinePunct/>
        <w:adjustRightInd w:val="0"/>
        <w:snapToGrid w:val="0"/>
        <w:spacing w:line="592" w:lineRule="exact"/>
        <w:ind w:firstLineChars="200" w:firstLine="640"/>
        <w:rPr>
          <w:rFonts w:ascii="楷体_GB2312" w:eastAsia="楷体_GB2312" w:hAnsi="楷体_GB2312" w:cs="楷体_GB2312" w:hint="eastAsia"/>
          <w:snapToGrid w:val="0"/>
          <w:color w:val="000000"/>
          <w:sz w:val="32"/>
          <w:szCs w:val="32"/>
        </w:rPr>
      </w:pPr>
      <w:r>
        <w:rPr>
          <w:rFonts w:ascii="楷体_GB2312" w:eastAsia="楷体_GB2312" w:hAnsi="楷体_GB2312" w:cs="楷体_GB2312" w:hint="eastAsia"/>
          <w:snapToGrid w:val="0"/>
          <w:color w:val="000000"/>
          <w:sz w:val="32"/>
          <w:szCs w:val="32"/>
        </w:rPr>
        <w:t>第四章</w:t>
      </w:r>
      <w:r>
        <w:rPr>
          <w:rFonts w:ascii="楷体_GB2312" w:eastAsia="楷体_GB2312" w:hAnsi="楷体_GB2312" w:cs="楷体_GB2312" w:hint="eastAsia"/>
          <w:snapToGrid w:val="0"/>
          <w:color w:val="000000"/>
          <w:sz w:val="32"/>
          <w:szCs w:val="32"/>
        </w:rPr>
        <w:t xml:space="preserve">  </w:t>
      </w:r>
      <w:r>
        <w:rPr>
          <w:rFonts w:ascii="楷体_GB2312" w:eastAsia="楷体_GB2312" w:hAnsi="楷体_GB2312" w:cs="楷体_GB2312" w:hint="eastAsia"/>
          <w:snapToGrid w:val="0"/>
          <w:color w:val="000000"/>
          <w:sz w:val="32"/>
          <w:szCs w:val="32"/>
        </w:rPr>
        <w:t>法律责任</w:t>
      </w:r>
    </w:p>
    <w:p w:rsidR="00000000" w:rsidRDefault="008D378F">
      <w:pPr>
        <w:topLinePunct/>
        <w:adjustRightInd w:val="0"/>
        <w:snapToGrid w:val="0"/>
        <w:spacing w:line="592" w:lineRule="exact"/>
        <w:ind w:firstLineChars="200" w:firstLine="640"/>
        <w:rPr>
          <w:rFonts w:ascii="楷体_GB2312" w:eastAsia="楷体_GB2312" w:hAnsi="楷体_GB2312" w:cs="楷体_GB2312" w:hint="eastAsia"/>
          <w:snapToGrid w:val="0"/>
          <w:color w:val="000000"/>
          <w:sz w:val="32"/>
          <w:szCs w:val="32"/>
        </w:rPr>
      </w:pPr>
      <w:r>
        <w:rPr>
          <w:rFonts w:ascii="楷体_GB2312" w:eastAsia="楷体_GB2312" w:hAnsi="楷体_GB2312" w:cs="楷体_GB2312" w:hint="eastAsia"/>
          <w:snapToGrid w:val="0"/>
          <w:color w:val="000000"/>
          <w:sz w:val="32"/>
          <w:szCs w:val="32"/>
        </w:rPr>
        <w:t>第五章</w:t>
      </w:r>
      <w:r>
        <w:rPr>
          <w:rFonts w:ascii="楷体_GB2312" w:eastAsia="楷体_GB2312" w:hAnsi="楷体_GB2312" w:cs="楷体_GB2312" w:hint="eastAsia"/>
          <w:snapToGrid w:val="0"/>
          <w:color w:val="000000"/>
          <w:sz w:val="32"/>
          <w:szCs w:val="32"/>
        </w:rPr>
        <w:t xml:space="preserve">  </w:t>
      </w:r>
      <w:r>
        <w:rPr>
          <w:rFonts w:ascii="楷体_GB2312" w:eastAsia="楷体_GB2312" w:hAnsi="楷体_GB2312" w:cs="楷体_GB2312" w:hint="eastAsia"/>
          <w:snapToGrid w:val="0"/>
          <w:color w:val="000000"/>
          <w:sz w:val="32"/>
          <w:szCs w:val="32"/>
        </w:rPr>
        <w:t>附则</w:t>
      </w:r>
    </w:p>
    <w:p w:rsidR="00000000" w:rsidRDefault="008D378F">
      <w:pPr>
        <w:topLinePunct/>
        <w:adjustRightInd w:val="0"/>
        <w:snapToGrid w:val="0"/>
        <w:spacing w:line="592" w:lineRule="exact"/>
        <w:rPr>
          <w:rFonts w:eastAsia="仿宋_GB2312" w:hint="eastAsia"/>
          <w:snapToGrid w:val="0"/>
          <w:color w:val="000000"/>
          <w:sz w:val="32"/>
          <w:szCs w:val="32"/>
        </w:rPr>
      </w:pPr>
    </w:p>
    <w:p w:rsidR="00000000" w:rsidRDefault="008D378F">
      <w:pPr>
        <w:topLinePunct/>
        <w:adjustRightInd w:val="0"/>
        <w:snapToGrid w:val="0"/>
        <w:spacing w:line="592" w:lineRule="exact"/>
        <w:jc w:val="center"/>
        <w:rPr>
          <w:rFonts w:eastAsia="黑体"/>
          <w:snapToGrid w:val="0"/>
          <w:color w:val="000000"/>
          <w:sz w:val="32"/>
          <w:szCs w:val="32"/>
        </w:rPr>
      </w:pPr>
      <w:r>
        <w:rPr>
          <w:rFonts w:eastAsia="黑体"/>
          <w:snapToGrid w:val="0"/>
          <w:color w:val="000000"/>
          <w:sz w:val="32"/>
          <w:szCs w:val="32"/>
        </w:rPr>
        <w:t>第一章</w:t>
      </w:r>
      <w:r>
        <w:rPr>
          <w:rFonts w:eastAsia="黑体"/>
          <w:snapToGrid w:val="0"/>
          <w:color w:val="000000"/>
          <w:sz w:val="32"/>
          <w:szCs w:val="32"/>
        </w:rPr>
        <w:t xml:space="preserve">  </w:t>
      </w:r>
      <w:r>
        <w:rPr>
          <w:rFonts w:eastAsia="黑体"/>
          <w:snapToGrid w:val="0"/>
          <w:color w:val="000000"/>
          <w:sz w:val="32"/>
          <w:szCs w:val="32"/>
        </w:rPr>
        <w:t>总则</w:t>
      </w:r>
    </w:p>
    <w:p w:rsidR="00000000" w:rsidRDefault="008D378F">
      <w:pPr>
        <w:topLinePunct/>
        <w:adjustRightInd w:val="0"/>
        <w:snapToGrid w:val="0"/>
        <w:spacing w:line="592" w:lineRule="exact"/>
        <w:ind w:firstLineChars="200" w:firstLine="640"/>
        <w:rPr>
          <w:rFonts w:ascii="黑体" w:eastAsia="黑体" w:hAnsi="黑体" w:cs="黑体" w:hint="eastAsia"/>
          <w:snapToGrid w:val="0"/>
          <w:color w:val="000000"/>
          <w:sz w:val="32"/>
          <w:szCs w:val="32"/>
        </w:rPr>
      </w:pP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t>第一条</w:t>
      </w:r>
      <w:r>
        <w:rPr>
          <w:rFonts w:eastAsia="仿宋_GB2312" w:hint="eastAsia"/>
          <w:snapToGrid w:val="0"/>
          <w:color w:val="000000"/>
          <w:sz w:val="32"/>
          <w:szCs w:val="32"/>
        </w:rPr>
        <w:t xml:space="preserve">  </w:t>
      </w:r>
      <w:r>
        <w:rPr>
          <w:rFonts w:eastAsia="仿宋_GB2312" w:hint="eastAsia"/>
          <w:snapToGrid w:val="0"/>
          <w:color w:val="000000"/>
          <w:sz w:val="32"/>
          <w:szCs w:val="32"/>
        </w:rPr>
        <w:t>为了加强河道管理，保障防洪安全，维护河道生态环境，发挥河道综合功能，根据《中华人民共和国水法》《中华人民共和国河道管理条例》等有关法律、法规，结合文山壮族苗族自治</w:t>
      </w:r>
      <w:r>
        <w:rPr>
          <w:rFonts w:eastAsia="仿宋_GB2312" w:hint="eastAsia"/>
          <w:snapToGrid w:val="0"/>
          <w:color w:val="000000"/>
          <w:sz w:val="32"/>
          <w:szCs w:val="32"/>
        </w:rPr>
        <w:t>州（以下简称自治州）实际，制定本条例。</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lastRenderedPageBreak/>
        <w:t>第二条</w:t>
      </w:r>
      <w:r>
        <w:rPr>
          <w:rFonts w:eastAsia="仿宋_GB2312" w:hint="eastAsia"/>
          <w:snapToGrid w:val="0"/>
          <w:color w:val="000000"/>
          <w:sz w:val="32"/>
          <w:szCs w:val="32"/>
        </w:rPr>
        <w:t xml:space="preserve">  </w:t>
      </w:r>
      <w:r>
        <w:rPr>
          <w:rFonts w:eastAsia="仿宋_GB2312" w:hint="eastAsia"/>
          <w:snapToGrid w:val="0"/>
          <w:color w:val="000000"/>
          <w:sz w:val="32"/>
          <w:szCs w:val="32"/>
        </w:rPr>
        <w:t>自治州内河道的规划、建设、保护、监督和防治水害等活动，适用本条例。</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本条例所称河道，是指河流、湖泊、人工水道、水库库区、行洪区、蓄滞洪区。</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t>第三条</w:t>
      </w:r>
      <w:r>
        <w:rPr>
          <w:rFonts w:eastAsia="仿宋_GB2312" w:hint="eastAsia"/>
          <w:snapToGrid w:val="0"/>
          <w:color w:val="000000"/>
          <w:sz w:val="32"/>
          <w:szCs w:val="32"/>
        </w:rPr>
        <w:t xml:space="preserve">  </w:t>
      </w:r>
      <w:r>
        <w:rPr>
          <w:rFonts w:eastAsia="仿宋_GB2312" w:hint="eastAsia"/>
          <w:snapToGrid w:val="0"/>
          <w:color w:val="000000"/>
          <w:sz w:val="32"/>
          <w:szCs w:val="32"/>
        </w:rPr>
        <w:t>河道管理应当遵循河道的自然属性，坚持全面规划、保护优先、综合治理、合理利用的原则，完善河道分级管理制度和行政首长负责制，处理好保护与利用、兴利与除害、流域与区域、当前与长远的关系。</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t>第四条</w:t>
      </w:r>
      <w:r>
        <w:rPr>
          <w:rFonts w:eastAsia="仿宋_GB2312" w:hint="eastAsia"/>
          <w:snapToGrid w:val="0"/>
          <w:color w:val="000000"/>
          <w:sz w:val="32"/>
          <w:szCs w:val="32"/>
        </w:rPr>
        <w:t xml:space="preserve">  </w:t>
      </w:r>
      <w:r>
        <w:rPr>
          <w:rFonts w:eastAsia="仿宋_GB2312" w:hint="eastAsia"/>
          <w:snapToGrid w:val="0"/>
          <w:color w:val="000000"/>
          <w:sz w:val="32"/>
          <w:szCs w:val="32"/>
        </w:rPr>
        <w:t>自治州、县（市）人民政府应当加强对河道管理工作的领导，将河道的保护与监督、规划与建设和防治水害工作，纳入本级国民经济和社</w:t>
      </w:r>
      <w:r>
        <w:rPr>
          <w:rFonts w:eastAsia="仿宋_GB2312" w:hint="eastAsia"/>
          <w:snapToGrid w:val="0"/>
          <w:color w:val="000000"/>
          <w:sz w:val="32"/>
          <w:szCs w:val="32"/>
        </w:rPr>
        <w:t>会发展规划，所需经费列入财政预算。</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t>第五条</w:t>
      </w:r>
      <w:r>
        <w:rPr>
          <w:rFonts w:eastAsia="仿宋_GB2312" w:hint="eastAsia"/>
          <w:snapToGrid w:val="0"/>
          <w:color w:val="000000"/>
          <w:sz w:val="32"/>
          <w:szCs w:val="32"/>
        </w:rPr>
        <w:t xml:space="preserve">  </w:t>
      </w:r>
      <w:r>
        <w:rPr>
          <w:rFonts w:eastAsia="仿宋_GB2312" w:hint="eastAsia"/>
          <w:snapToGrid w:val="0"/>
          <w:color w:val="000000"/>
          <w:sz w:val="32"/>
          <w:szCs w:val="32"/>
        </w:rPr>
        <w:t>自治州、县（市）人民政府水行政主管部门负责河道的统一管理与监督，履行下列主要职责：</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（一）宣传实施有关水法律、法规；</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（二）组织编制河道规划和年度实施计划；</w:t>
      </w:r>
    </w:p>
    <w:p w:rsidR="00000000" w:rsidRDefault="008D378F">
      <w:pPr>
        <w:topLinePunct/>
        <w:adjustRightInd w:val="0"/>
        <w:snapToGrid w:val="0"/>
        <w:spacing w:line="592" w:lineRule="exact"/>
        <w:ind w:firstLineChars="200" w:firstLine="632"/>
        <w:rPr>
          <w:rFonts w:eastAsia="仿宋_GB2312" w:hint="eastAsia"/>
          <w:snapToGrid w:val="0"/>
          <w:color w:val="000000"/>
          <w:sz w:val="32"/>
          <w:szCs w:val="32"/>
        </w:rPr>
      </w:pPr>
      <w:r>
        <w:rPr>
          <w:rFonts w:eastAsia="仿宋_GB2312" w:hint="eastAsia"/>
          <w:snapToGrid w:val="0"/>
          <w:color w:val="000000"/>
          <w:spacing w:val="-2"/>
          <w:sz w:val="32"/>
          <w:szCs w:val="32"/>
        </w:rPr>
        <w:t>（三）审批、验收河道管理范围内各类工程，参与涉河项目的方</w:t>
      </w:r>
      <w:r>
        <w:rPr>
          <w:rFonts w:eastAsia="仿宋_GB2312" w:hint="eastAsia"/>
          <w:snapToGrid w:val="0"/>
          <w:color w:val="000000"/>
          <w:sz w:val="32"/>
          <w:szCs w:val="32"/>
        </w:rPr>
        <w:t>案审查和竣工验收；</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（四）负责河道清淤保洁和涵闸、堤防、护堤林的管护；</w:t>
      </w:r>
    </w:p>
    <w:p w:rsidR="00000000" w:rsidRDefault="008D378F">
      <w:pPr>
        <w:topLinePunct/>
        <w:adjustRightInd w:val="0"/>
        <w:snapToGrid w:val="0"/>
        <w:spacing w:line="592" w:lineRule="exact"/>
        <w:ind w:firstLineChars="200" w:firstLine="620"/>
        <w:rPr>
          <w:rFonts w:eastAsia="仿宋_GB2312" w:hint="eastAsia"/>
          <w:snapToGrid w:val="0"/>
          <w:color w:val="000000"/>
          <w:spacing w:val="-5"/>
          <w:sz w:val="32"/>
          <w:szCs w:val="32"/>
        </w:rPr>
      </w:pPr>
      <w:r>
        <w:rPr>
          <w:rFonts w:eastAsia="仿宋_GB2312" w:hint="eastAsia"/>
          <w:snapToGrid w:val="0"/>
          <w:color w:val="000000"/>
          <w:spacing w:val="-5"/>
          <w:sz w:val="32"/>
          <w:szCs w:val="32"/>
        </w:rPr>
        <w:t>（五）编制、落实应急调度方案，组织、指挥防汛抗旱抢险；</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（六）依法收缴河道管理行政事业规费；</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（七）巡查检查河道，调解水事纠纷，行使水行政处罚权。</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lastRenderedPageBreak/>
        <w:t>第六条</w:t>
      </w:r>
      <w:r>
        <w:rPr>
          <w:rFonts w:eastAsia="仿宋_GB2312" w:hint="eastAsia"/>
          <w:snapToGrid w:val="0"/>
          <w:color w:val="000000"/>
          <w:sz w:val="32"/>
          <w:szCs w:val="32"/>
        </w:rPr>
        <w:t xml:space="preserve">  </w:t>
      </w:r>
      <w:r>
        <w:rPr>
          <w:rFonts w:eastAsia="仿宋_GB2312" w:hint="eastAsia"/>
          <w:snapToGrid w:val="0"/>
          <w:color w:val="000000"/>
          <w:sz w:val="32"/>
          <w:szCs w:val="32"/>
        </w:rPr>
        <w:t>自治州、县（市）人民政</w:t>
      </w:r>
      <w:r>
        <w:rPr>
          <w:rFonts w:eastAsia="仿宋_GB2312" w:hint="eastAsia"/>
          <w:snapToGrid w:val="0"/>
          <w:color w:val="000000"/>
          <w:sz w:val="32"/>
          <w:szCs w:val="32"/>
        </w:rPr>
        <w:t>府水行政主管部门依据流域或者区域设置的河道管理机构，负责流域或者区域的河道日常管理工作。</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t>第七条</w:t>
      </w:r>
      <w:r>
        <w:rPr>
          <w:rFonts w:eastAsia="仿宋_GB2312" w:hint="eastAsia"/>
          <w:snapToGrid w:val="0"/>
          <w:color w:val="000000"/>
          <w:sz w:val="32"/>
          <w:szCs w:val="32"/>
        </w:rPr>
        <w:t xml:space="preserve">  </w:t>
      </w:r>
      <w:r>
        <w:rPr>
          <w:rFonts w:eastAsia="仿宋_GB2312" w:hint="eastAsia"/>
          <w:snapToGrid w:val="0"/>
          <w:color w:val="000000"/>
          <w:sz w:val="32"/>
          <w:szCs w:val="32"/>
        </w:rPr>
        <w:t>自治州、县（市）人民政府发展改革、国土资源、住房和城乡建设、旅游、公安、财政、交通等有关部门，按照各自的职责做好河道管理相关工作。</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乡（镇）人民政府、街道办事处应当加强辖区河道管理，及时发现、纠正和阻止河道违法行为。可以选聘河道监督员，协助做好河道维护、清淤保洁等相关工作。</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村（居）民委员会可以制定河道管理村规民约或者居民公约，协助做好河道的清淤保洁。</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t>第八条</w:t>
      </w:r>
      <w:r>
        <w:rPr>
          <w:rFonts w:eastAsia="仿宋_GB2312" w:hint="eastAsia"/>
          <w:snapToGrid w:val="0"/>
          <w:color w:val="000000"/>
          <w:sz w:val="32"/>
          <w:szCs w:val="32"/>
        </w:rPr>
        <w:t xml:space="preserve">  </w:t>
      </w:r>
      <w:r>
        <w:rPr>
          <w:rFonts w:eastAsia="仿宋_GB2312" w:hint="eastAsia"/>
          <w:snapToGrid w:val="0"/>
          <w:color w:val="000000"/>
          <w:sz w:val="32"/>
          <w:szCs w:val="32"/>
        </w:rPr>
        <w:t>自治州内的南利河、斋河等国际界河段，驮娘江、西</w:t>
      </w:r>
      <w:r>
        <w:rPr>
          <w:rFonts w:eastAsia="仿宋_GB2312" w:hint="eastAsia"/>
          <w:snapToGrid w:val="0"/>
          <w:color w:val="000000"/>
          <w:sz w:val="32"/>
          <w:szCs w:val="32"/>
        </w:rPr>
        <w:t>洋江等省际界河段，南盘江、那么果河等州际界河段，按照管理权限实施管理。</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州、县（市）水行政主管部门应当加强对盘龙河干流稼依水库至天保出境口段及其重要支流畴阳河安乐闸至交汇口段、南利河干流八嘎村至小寨村出口段、清水江干流古登寨至坝达出口段、西洋江干流拖派村至南山村出口段等重要河段的管理。</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t>第九条</w:t>
      </w:r>
      <w:r>
        <w:rPr>
          <w:rFonts w:eastAsia="仿宋_GB2312" w:hint="eastAsia"/>
          <w:snapToGrid w:val="0"/>
          <w:color w:val="000000"/>
          <w:sz w:val="32"/>
          <w:szCs w:val="32"/>
        </w:rPr>
        <w:t xml:space="preserve">  </w:t>
      </w:r>
      <w:r>
        <w:rPr>
          <w:rFonts w:eastAsia="仿宋_GB2312" w:hint="eastAsia"/>
          <w:snapToGrid w:val="0"/>
          <w:color w:val="000000"/>
          <w:sz w:val="32"/>
          <w:szCs w:val="32"/>
        </w:rPr>
        <w:t>任何单位或个人都有保护河道安全、参与防汛抢险救灾的义务，有权劝阻、举报破坏河道及其配套设施设备和危害河道生态环境的行为。</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自治州、县（市）人民政府建立河道管理激励机制，鼓励、</w:t>
      </w:r>
      <w:r>
        <w:rPr>
          <w:rFonts w:eastAsia="仿宋_GB2312" w:hint="eastAsia"/>
          <w:snapToGrid w:val="0"/>
          <w:color w:val="000000"/>
          <w:sz w:val="32"/>
          <w:szCs w:val="32"/>
        </w:rPr>
        <w:lastRenderedPageBreak/>
        <w:t>支持社会力量以多种方式参与河道的管护和治</w:t>
      </w:r>
      <w:r>
        <w:rPr>
          <w:rFonts w:eastAsia="仿宋_GB2312" w:hint="eastAsia"/>
          <w:snapToGrid w:val="0"/>
          <w:color w:val="000000"/>
          <w:sz w:val="32"/>
          <w:szCs w:val="32"/>
        </w:rPr>
        <w:t>理。</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p>
    <w:p w:rsidR="00000000" w:rsidRDefault="008D378F">
      <w:pPr>
        <w:topLinePunct/>
        <w:adjustRightInd w:val="0"/>
        <w:snapToGrid w:val="0"/>
        <w:spacing w:line="592" w:lineRule="exact"/>
        <w:jc w:val="center"/>
        <w:rPr>
          <w:rFonts w:eastAsia="黑体" w:hint="eastAsia"/>
          <w:snapToGrid w:val="0"/>
          <w:color w:val="000000"/>
          <w:sz w:val="32"/>
          <w:szCs w:val="32"/>
        </w:rPr>
      </w:pPr>
      <w:r>
        <w:rPr>
          <w:rFonts w:eastAsia="黑体" w:hint="eastAsia"/>
          <w:snapToGrid w:val="0"/>
          <w:color w:val="000000"/>
          <w:sz w:val="32"/>
          <w:szCs w:val="32"/>
        </w:rPr>
        <w:t>第二章</w:t>
      </w:r>
      <w:r>
        <w:rPr>
          <w:rFonts w:eastAsia="黑体" w:hint="eastAsia"/>
          <w:snapToGrid w:val="0"/>
          <w:color w:val="000000"/>
          <w:sz w:val="32"/>
          <w:szCs w:val="32"/>
        </w:rPr>
        <w:t xml:space="preserve">  </w:t>
      </w:r>
      <w:r>
        <w:rPr>
          <w:rFonts w:eastAsia="黑体" w:hint="eastAsia"/>
          <w:snapToGrid w:val="0"/>
          <w:color w:val="000000"/>
          <w:sz w:val="32"/>
          <w:szCs w:val="32"/>
        </w:rPr>
        <w:t>保护与监督</w:t>
      </w:r>
    </w:p>
    <w:p w:rsidR="00000000" w:rsidRDefault="008D378F">
      <w:pPr>
        <w:topLinePunct/>
        <w:adjustRightInd w:val="0"/>
        <w:snapToGrid w:val="0"/>
        <w:spacing w:line="592" w:lineRule="exact"/>
        <w:ind w:firstLineChars="200" w:firstLine="640"/>
        <w:rPr>
          <w:rFonts w:ascii="黑体" w:eastAsia="黑体" w:hAnsi="黑体" w:cs="黑体" w:hint="eastAsia"/>
          <w:snapToGrid w:val="0"/>
          <w:color w:val="000000"/>
          <w:sz w:val="32"/>
          <w:szCs w:val="32"/>
        </w:rPr>
      </w:pP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t>第十条</w:t>
      </w:r>
      <w:r>
        <w:rPr>
          <w:rFonts w:eastAsia="仿宋_GB2312" w:hint="eastAsia"/>
          <w:snapToGrid w:val="0"/>
          <w:color w:val="000000"/>
          <w:sz w:val="32"/>
          <w:szCs w:val="32"/>
        </w:rPr>
        <w:t xml:space="preserve">  </w:t>
      </w:r>
      <w:r>
        <w:rPr>
          <w:rFonts w:eastAsia="仿宋_GB2312" w:hint="eastAsia"/>
          <w:snapToGrid w:val="0"/>
          <w:color w:val="000000"/>
          <w:sz w:val="32"/>
          <w:szCs w:val="32"/>
        </w:rPr>
        <w:t>自治州、县（市）人民政府应当组织划定河道管理范围和保护范围，并设立标志，予以公告。</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有堤防的河道，管理范围为两岸堤防及其之间的水域、沙洲、滩地、行洪区和堤防外沿边线向外划定的护堤地。保护范围为管理范围向外划</w:t>
      </w:r>
      <w:r>
        <w:rPr>
          <w:rFonts w:eastAsia="仿宋_GB2312" w:hint="eastAsia"/>
          <w:snapToGrid w:val="0"/>
          <w:color w:val="000000"/>
          <w:sz w:val="32"/>
          <w:szCs w:val="32"/>
        </w:rPr>
        <w:t>5</w:t>
      </w:r>
      <w:r>
        <w:rPr>
          <w:rFonts w:eastAsia="仿宋_GB2312" w:hint="eastAsia"/>
          <w:snapToGrid w:val="0"/>
          <w:color w:val="000000"/>
          <w:sz w:val="32"/>
          <w:szCs w:val="32"/>
        </w:rPr>
        <w:t>米至</w:t>
      </w:r>
      <w:r>
        <w:rPr>
          <w:rFonts w:eastAsia="仿宋_GB2312" w:hint="eastAsia"/>
          <w:snapToGrid w:val="0"/>
          <w:color w:val="000000"/>
          <w:sz w:val="32"/>
          <w:szCs w:val="32"/>
        </w:rPr>
        <w:t>10</w:t>
      </w:r>
      <w:r>
        <w:rPr>
          <w:rFonts w:eastAsia="仿宋_GB2312" w:hint="eastAsia"/>
          <w:snapToGrid w:val="0"/>
          <w:color w:val="000000"/>
          <w:sz w:val="32"/>
          <w:szCs w:val="32"/>
        </w:rPr>
        <w:t>米的区域。</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无堤防的河道，管理范围按照岸线控制线之间范围、历史最高洪水位和防洪标准划定。保护范围根据管理需要划定。</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湖泊、水库库区的管理范围为湖（库）区的水域、岛屿、蓄滞洪区、环湖（库）堤坝及根据管理需要划定的区域。保护范围根据管理需要划定。</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t>第十一条</w:t>
      </w:r>
      <w:r>
        <w:rPr>
          <w:rFonts w:eastAsia="仿宋_GB2312" w:hint="eastAsia"/>
          <w:snapToGrid w:val="0"/>
          <w:color w:val="000000"/>
          <w:sz w:val="32"/>
          <w:szCs w:val="32"/>
        </w:rPr>
        <w:t xml:space="preserve"> </w:t>
      </w:r>
      <w:r>
        <w:rPr>
          <w:rFonts w:eastAsia="仿宋_GB2312" w:hint="eastAsia"/>
          <w:snapToGrid w:val="0"/>
          <w:color w:val="000000"/>
          <w:sz w:val="32"/>
          <w:szCs w:val="32"/>
        </w:rPr>
        <w:t xml:space="preserve"> </w:t>
      </w:r>
      <w:r>
        <w:rPr>
          <w:rFonts w:eastAsia="仿宋_GB2312" w:hint="eastAsia"/>
          <w:snapToGrid w:val="0"/>
          <w:color w:val="000000"/>
          <w:sz w:val="32"/>
          <w:szCs w:val="32"/>
        </w:rPr>
        <w:t>河道堤防的护堤地按照水平距离划定：城镇规划区、旅游风景区内的河道划</w:t>
      </w:r>
      <w:r>
        <w:rPr>
          <w:rFonts w:eastAsia="仿宋_GB2312" w:hint="eastAsia"/>
          <w:snapToGrid w:val="0"/>
          <w:color w:val="000000"/>
          <w:sz w:val="32"/>
          <w:szCs w:val="32"/>
        </w:rPr>
        <w:t>10</w:t>
      </w:r>
      <w:r>
        <w:rPr>
          <w:rFonts w:eastAsia="仿宋_GB2312" w:hint="eastAsia"/>
          <w:snapToGrid w:val="0"/>
          <w:color w:val="000000"/>
          <w:sz w:val="32"/>
          <w:szCs w:val="32"/>
        </w:rPr>
        <w:t>米至</w:t>
      </w:r>
      <w:r>
        <w:rPr>
          <w:rFonts w:eastAsia="仿宋_GB2312" w:hint="eastAsia"/>
          <w:snapToGrid w:val="0"/>
          <w:color w:val="000000"/>
          <w:sz w:val="32"/>
          <w:szCs w:val="32"/>
        </w:rPr>
        <w:t>70</w:t>
      </w:r>
      <w:r>
        <w:rPr>
          <w:rFonts w:eastAsia="仿宋_GB2312" w:hint="eastAsia"/>
          <w:snapToGrid w:val="0"/>
          <w:color w:val="000000"/>
          <w:sz w:val="32"/>
          <w:szCs w:val="32"/>
        </w:rPr>
        <w:t>米；其他河道划</w:t>
      </w:r>
      <w:r>
        <w:rPr>
          <w:rFonts w:eastAsia="仿宋_GB2312" w:hint="eastAsia"/>
          <w:snapToGrid w:val="0"/>
          <w:color w:val="000000"/>
          <w:sz w:val="32"/>
          <w:szCs w:val="32"/>
        </w:rPr>
        <w:t>3</w:t>
      </w:r>
      <w:r>
        <w:rPr>
          <w:rFonts w:eastAsia="仿宋_GB2312" w:hint="eastAsia"/>
          <w:snapToGrid w:val="0"/>
          <w:color w:val="000000"/>
          <w:sz w:val="32"/>
          <w:szCs w:val="32"/>
        </w:rPr>
        <w:t>米至</w:t>
      </w:r>
      <w:r>
        <w:rPr>
          <w:rFonts w:eastAsia="仿宋_GB2312" w:hint="eastAsia"/>
          <w:snapToGrid w:val="0"/>
          <w:color w:val="000000"/>
          <w:sz w:val="32"/>
          <w:szCs w:val="32"/>
        </w:rPr>
        <w:t>5</w:t>
      </w:r>
      <w:r>
        <w:rPr>
          <w:rFonts w:eastAsia="仿宋_GB2312" w:hint="eastAsia"/>
          <w:snapToGrid w:val="0"/>
          <w:color w:val="000000"/>
          <w:sz w:val="32"/>
          <w:szCs w:val="32"/>
        </w:rPr>
        <w:t>米。</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t>第十二条</w:t>
      </w:r>
      <w:r>
        <w:rPr>
          <w:rFonts w:eastAsia="仿宋_GB2312" w:hint="eastAsia"/>
          <w:snapToGrid w:val="0"/>
          <w:color w:val="000000"/>
          <w:sz w:val="32"/>
          <w:szCs w:val="32"/>
        </w:rPr>
        <w:t xml:space="preserve">  </w:t>
      </w:r>
      <w:r>
        <w:rPr>
          <w:rFonts w:eastAsia="仿宋_GB2312" w:hint="eastAsia"/>
          <w:snapToGrid w:val="0"/>
          <w:color w:val="000000"/>
          <w:sz w:val="32"/>
          <w:szCs w:val="32"/>
        </w:rPr>
        <w:t>河道管理范围的区域，由水行政主管部门统一管理，任何单位和个人不得侵占。本条例施行前已经占用的应当有计划安排退让，需要补偿的由州、县（市）人民政府纳入预算。</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河道保护范围的区域，其土地和附着物的权属不变，使用</w:t>
      </w:r>
      <w:r>
        <w:rPr>
          <w:rFonts w:eastAsia="仿宋_GB2312" w:hint="eastAsia"/>
          <w:snapToGrid w:val="0"/>
          <w:color w:val="000000"/>
          <w:sz w:val="32"/>
          <w:szCs w:val="32"/>
        </w:rPr>
        <w:lastRenderedPageBreak/>
        <w:t>应当接受河道管理机构的监督。</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t>第十三条</w:t>
      </w:r>
      <w:r>
        <w:rPr>
          <w:rFonts w:eastAsia="仿宋_GB2312" w:hint="eastAsia"/>
          <w:snapToGrid w:val="0"/>
          <w:color w:val="000000"/>
          <w:sz w:val="32"/>
          <w:szCs w:val="32"/>
        </w:rPr>
        <w:t xml:space="preserve">  </w:t>
      </w:r>
      <w:r>
        <w:rPr>
          <w:rFonts w:eastAsia="仿宋_GB2312" w:hint="eastAsia"/>
          <w:snapToGrid w:val="0"/>
          <w:color w:val="000000"/>
          <w:sz w:val="32"/>
          <w:szCs w:val="32"/>
        </w:rPr>
        <w:t>水行政主管部门应当加强监控能力和信息化平台建设，向社会公布河道管理相关信息。</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t>第十四条</w:t>
      </w:r>
      <w:r>
        <w:rPr>
          <w:rFonts w:eastAsia="仿宋_GB2312" w:hint="eastAsia"/>
          <w:snapToGrid w:val="0"/>
          <w:color w:val="000000"/>
          <w:sz w:val="32"/>
          <w:szCs w:val="32"/>
        </w:rPr>
        <w:t xml:space="preserve">  </w:t>
      </w:r>
      <w:r>
        <w:rPr>
          <w:rFonts w:eastAsia="仿宋_GB2312" w:hint="eastAsia"/>
          <w:snapToGrid w:val="0"/>
          <w:color w:val="000000"/>
          <w:sz w:val="32"/>
          <w:szCs w:val="32"/>
        </w:rPr>
        <w:t>自治州实行河道资源有偿使用制度和生态补偿制度。</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t>第十五</w:t>
      </w:r>
      <w:r>
        <w:rPr>
          <w:rFonts w:ascii="黑体" w:eastAsia="黑体" w:hAnsi="黑体" w:cs="黑体" w:hint="eastAsia"/>
          <w:snapToGrid w:val="0"/>
          <w:color w:val="000000"/>
          <w:sz w:val="32"/>
          <w:szCs w:val="32"/>
        </w:rPr>
        <w:t>条</w:t>
      </w:r>
      <w:r>
        <w:rPr>
          <w:rFonts w:eastAsia="仿宋_GB2312" w:hint="eastAsia"/>
          <w:snapToGrid w:val="0"/>
          <w:color w:val="000000"/>
          <w:sz w:val="32"/>
          <w:szCs w:val="32"/>
        </w:rPr>
        <w:t xml:space="preserve">  </w:t>
      </w:r>
      <w:r>
        <w:rPr>
          <w:rFonts w:eastAsia="仿宋_GB2312" w:hint="eastAsia"/>
          <w:snapToGrid w:val="0"/>
          <w:color w:val="000000"/>
          <w:sz w:val="32"/>
          <w:szCs w:val="32"/>
        </w:rPr>
        <w:t>修建拦河闸坝等工程取用水的，应当同步设计建设生态流量下泄设施，保证下泄流量汛期不低于多年平均流量的</w:t>
      </w:r>
      <w:r>
        <w:rPr>
          <w:rFonts w:eastAsia="仿宋_GB2312" w:hint="eastAsia"/>
          <w:snapToGrid w:val="0"/>
          <w:color w:val="000000"/>
          <w:sz w:val="32"/>
          <w:szCs w:val="32"/>
        </w:rPr>
        <w:t>30</w:t>
      </w:r>
      <w:r>
        <w:rPr>
          <w:rFonts w:eastAsia="仿宋_GB2312" w:hint="eastAsia"/>
          <w:snapToGrid w:val="0"/>
          <w:color w:val="000000"/>
          <w:sz w:val="32"/>
          <w:szCs w:val="32"/>
        </w:rPr>
        <w:t>%</w:t>
      </w:r>
      <w:r>
        <w:rPr>
          <w:rFonts w:eastAsia="仿宋_GB2312" w:hint="eastAsia"/>
          <w:snapToGrid w:val="0"/>
          <w:color w:val="000000"/>
          <w:sz w:val="32"/>
          <w:szCs w:val="32"/>
        </w:rPr>
        <w:t>；枯期不低于多年平均流量的</w:t>
      </w:r>
      <w:r>
        <w:rPr>
          <w:rFonts w:eastAsia="仿宋_GB2312" w:hint="eastAsia"/>
          <w:snapToGrid w:val="0"/>
          <w:color w:val="000000"/>
          <w:sz w:val="32"/>
          <w:szCs w:val="32"/>
        </w:rPr>
        <w:t>10</w:t>
      </w:r>
      <w:r>
        <w:rPr>
          <w:rFonts w:eastAsia="仿宋_GB2312" w:hint="eastAsia"/>
          <w:snapToGrid w:val="0"/>
          <w:color w:val="000000"/>
          <w:sz w:val="32"/>
          <w:szCs w:val="32"/>
        </w:rPr>
        <w:t>%</w:t>
      </w:r>
      <w:r>
        <w:rPr>
          <w:rFonts w:eastAsia="仿宋_GB2312" w:hint="eastAsia"/>
          <w:snapToGrid w:val="0"/>
          <w:color w:val="000000"/>
          <w:sz w:val="32"/>
          <w:szCs w:val="32"/>
        </w:rPr>
        <w:t>。</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已建成的取用水工程，未建生态下泄流量设施或者生态下泄流量设施不符合要求的，应当限期修建或者改造。</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t>第十六条</w:t>
      </w:r>
      <w:r>
        <w:rPr>
          <w:rFonts w:eastAsia="仿宋_GB2312" w:hint="eastAsia"/>
          <w:snapToGrid w:val="0"/>
          <w:color w:val="000000"/>
          <w:sz w:val="32"/>
          <w:szCs w:val="32"/>
        </w:rPr>
        <w:t xml:space="preserve">  </w:t>
      </w:r>
      <w:r>
        <w:rPr>
          <w:rFonts w:eastAsia="仿宋_GB2312" w:hint="eastAsia"/>
          <w:snapToGrid w:val="0"/>
          <w:color w:val="000000"/>
          <w:sz w:val="32"/>
          <w:szCs w:val="32"/>
        </w:rPr>
        <w:t>利用工程设施设备直接从河道取用水的单位和个人，应当相应安装使用并管护好取水、用水、退水和生态下泄流量的在线监控设备，接入同级政府水资源管理信息平台。</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t>第十七条</w:t>
      </w:r>
      <w:r>
        <w:rPr>
          <w:rFonts w:eastAsia="仿宋_GB2312" w:hint="eastAsia"/>
          <w:snapToGrid w:val="0"/>
          <w:color w:val="000000"/>
          <w:sz w:val="32"/>
          <w:szCs w:val="32"/>
        </w:rPr>
        <w:t xml:space="preserve">  </w:t>
      </w:r>
      <w:r>
        <w:rPr>
          <w:rFonts w:eastAsia="仿宋_GB2312" w:hint="eastAsia"/>
          <w:snapToGrid w:val="0"/>
          <w:color w:val="000000"/>
          <w:sz w:val="32"/>
          <w:szCs w:val="32"/>
        </w:rPr>
        <w:t>经批准利用拦河闸坝工程取用水的单位，应当编制防洪应急预案和汛期调度运用方案，报有管辖权的防汛指</w:t>
      </w:r>
      <w:r>
        <w:rPr>
          <w:rFonts w:eastAsia="仿宋_GB2312" w:hint="eastAsia"/>
          <w:snapToGrid w:val="0"/>
          <w:color w:val="000000"/>
          <w:sz w:val="32"/>
          <w:szCs w:val="32"/>
        </w:rPr>
        <w:t>挥机构批准实施。</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取用水单位在紧急情况下需要实施洪水调度时，应当报县（市）级以上防汛指挥机构批准，协同做好应急相关工作。</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t>第十八条</w:t>
      </w:r>
      <w:r>
        <w:rPr>
          <w:rFonts w:eastAsia="仿宋_GB2312" w:hint="eastAsia"/>
          <w:snapToGrid w:val="0"/>
          <w:color w:val="000000"/>
          <w:sz w:val="32"/>
          <w:szCs w:val="32"/>
        </w:rPr>
        <w:t xml:space="preserve">  </w:t>
      </w:r>
      <w:r>
        <w:rPr>
          <w:rFonts w:eastAsia="仿宋_GB2312" w:hint="eastAsia"/>
          <w:snapToGrid w:val="0"/>
          <w:color w:val="000000"/>
          <w:sz w:val="32"/>
          <w:szCs w:val="32"/>
        </w:rPr>
        <w:t>自治州、县（市）水行政主管部门应当核定河道水域纳污能力，向环境保护行政主管部门提出该水域的限制排污总量意见。</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州、县（市）环境保护部门审批排放水污染物项目时，应</w:t>
      </w:r>
      <w:r>
        <w:rPr>
          <w:rFonts w:eastAsia="仿宋_GB2312" w:hint="eastAsia"/>
          <w:snapToGrid w:val="0"/>
          <w:color w:val="000000"/>
          <w:sz w:val="32"/>
          <w:szCs w:val="32"/>
        </w:rPr>
        <w:lastRenderedPageBreak/>
        <w:t>当严格执行污染物排放控制总量。</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t>第十九条</w:t>
      </w:r>
      <w:r>
        <w:rPr>
          <w:rFonts w:eastAsia="仿宋_GB2312" w:hint="eastAsia"/>
          <w:snapToGrid w:val="0"/>
          <w:color w:val="000000"/>
          <w:sz w:val="32"/>
          <w:szCs w:val="32"/>
        </w:rPr>
        <w:t xml:space="preserve">  </w:t>
      </w:r>
      <w:r>
        <w:rPr>
          <w:rFonts w:eastAsia="仿宋_GB2312" w:hint="eastAsia"/>
          <w:snapToGrid w:val="0"/>
          <w:color w:val="000000"/>
          <w:sz w:val="32"/>
          <w:szCs w:val="32"/>
        </w:rPr>
        <w:t>禁止在饮用水水源保护区内设置排污口。</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单位或者个人从事生产经营活动和开发建设项目，需要在河道上新建、改建、扩建排污口的，应当经水行政主管部门同意，再向环境保护部门申请审批环境</w:t>
      </w:r>
      <w:r>
        <w:rPr>
          <w:rFonts w:eastAsia="仿宋_GB2312" w:hint="eastAsia"/>
          <w:snapToGrid w:val="0"/>
          <w:color w:val="000000"/>
          <w:sz w:val="32"/>
          <w:szCs w:val="32"/>
        </w:rPr>
        <w:t>影响报告书。</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t>第二十条</w:t>
      </w:r>
      <w:r>
        <w:rPr>
          <w:rFonts w:eastAsia="仿宋_GB2312" w:hint="eastAsia"/>
          <w:snapToGrid w:val="0"/>
          <w:color w:val="000000"/>
          <w:sz w:val="32"/>
          <w:szCs w:val="32"/>
        </w:rPr>
        <w:t xml:space="preserve">  </w:t>
      </w:r>
      <w:r>
        <w:rPr>
          <w:rFonts w:eastAsia="仿宋_GB2312" w:hint="eastAsia"/>
          <w:snapToGrid w:val="0"/>
          <w:color w:val="000000"/>
          <w:sz w:val="32"/>
          <w:szCs w:val="32"/>
        </w:rPr>
        <w:t>单位或者个人在河道管理范围内开展经营性采砂（淘金、取土等）活动的，应当向水行政主管部门申请办理河道采砂许可证，依法缴纳河道采砂管理费。</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农村集体、家庭自用采砂的，应当到当地河道管理机构填写自用采砂申请表。经批准同意的，免缴河道采砂管理费。</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河道采砂许可证，由州级河道主管机关统一印制。河道采砂许可证不得伪造、涂改、买卖、出租、出借或者转让开采范围。</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t>第二十一条</w:t>
      </w:r>
      <w:r>
        <w:rPr>
          <w:rFonts w:eastAsia="仿宋_GB2312" w:hint="eastAsia"/>
          <w:snapToGrid w:val="0"/>
          <w:color w:val="000000"/>
          <w:sz w:val="32"/>
          <w:szCs w:val="32"/>
        </w:rPr>
        <w:t xml:space="preserve">  </w:t>
      </w:r>
      <w:r>
        <w:rPr>
          <w:rFonts w:eastAsia="仿宋_GB2312" w:hint="eastAsia"/>
          <w:snapToGrid w:val="0"/>
          <w:color w:val="000000"/>
          <w:sz w:val="32"/>
          <w:szCs w:val="32"/>
        </w:rPr>
        <w:t>河道管理范围内禁止下列行为：</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（一）电鱼、炸鱼、毒鱼和擅自拦河、围网养殖；</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（二）种植各类农作物，砍伐护堤、护岸林木；</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w:t>
      </w:r>
      <w:r>
        <w:rPr>
          <w:rFonts w:eastAsia="仿宋_GB2312" w:hint="eastAsia"/>
          <w:snapToGrid w:val="0"/>
          <w:color w:val="000000"/>
          <w:sz w:val="32"/>
          <w:szCs w:val="32"/>
        </w:rPr>
        <w:t>三）倾倒、堆放、填埋废渣和垃圾及其他废弃物；</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（四）清洗装贮过有毒有害物品的车辆、容器；</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（五）倾倒土、石、泥浆，排放未达标的污水、废水；</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（六）设置行洪的阻水设施和构筑物；</w:t>
      </w:r>
    </w:p>
    <w:p w:rsidR="00000000" w:rsidRDefault="008D378F">
      <w:pPr>
        <w:topLinePunct/>
        <w:adjustRightInd w:val="0"/>
        <w:snapToGrid w:val="0"/>
        <w:spacing w:line="592" w:lineRule="exact"/>
        <w:ind w:firstLineChars="200" w:firstLine="628"/>
        <w:rPr>
          <w:rFonts w:eastAsia="仿宋_GB2312" w:hint="eastAsia"/>
          <w:snapToGrid w:val="0"/>
          <w:color w:val="000000"/>
          <w:sz w:val="32"/>
          <w:szCs w:val="32"/>
        </w:rPr>
      </w:pPr>
      <w:r>
        <w:rPr>
          <w:rFonts w:eastAsia="仿宋_GB2312" w:hint="eastAsia"/>
          <w:snapToGrid w:val="0"/>
          <w:color w:val="000000"/>
          <w:spacing w:val="-3"/>
          <w:sz w:val="32"/>
          <w:szCs w:val="32"/>
        </w:rPr>
        <w:t>（七）侵占和毁坏河道堤防、涵闸、泵站及水文、水质、工</w:t>
      </w:r>
      <w:r>
        <w:rPr>
          <w:rFonts w:eastAsia="仿宋_GB2312" w:hint="eastAsia"/>
          <w:snapToGrid w:val="0"/>
          <w:color w:val="000000"/>
          <w:sz w:val="32"/>
          <w:szCs w:val="32"/>
        </w:rPr>
        <w:t>程监测等配套设施设备；</w:t>
      </w:r>
    </w:p>
    <w:p w:rsidR="00000000" w:rsidRDefault="008D378F">
      <w:pPr>
        <w:topLinePunct/>
        <w:adjustRightInd w:val="0"/>
        <w:snapToGrid w:val="0"/>
        <w:spacing w:line="592" w:lineRule="exact"/>
        <w:ind w:firstLineChars="200" w:firstLine="628"/>
        <w:rPr>
          <w:rFonts w:eastAsia="仿宋_GB2312" w:hint="eastAsia"/>
          <w:snapToGrid w:val="0"/>
          <w:color w:val="000000"/>
          <w:sz w:val="32"/>
          <w:szCs w:val="32"/>
        </w:rPr>
      </w:pPr>
      <w:r>
        <w:rPr>
          <w:rFonts w:eastAsia="仿宋_GB2312" w:hint="eastAsia"/>
          <w:snapToGrid w:val="0"/>
          <w:color w:val="000000"/>
          <w:spacing w:val="-3"/>
          <w:sz w:val="32"/>
          <w:szCs w:val="32"/>
        </w:rPr>
        <w:lastRenderedPageBreak/>
        <w:t>（八）填堵、覆盖河道，调整河道水系，占用和拆除河道配套</w:t>
      </w:r>
      <w:r>
        <w:rPr>
          <w:rFonts w:eastAsia="仿宋_GB2312" w:hint="eastAsia"/>
          <w:snapToGrid w:val="0"/>
          <w:color w:val="000000"/>
          <w:sz w:val="32"/>
          <w:szCs w:val="32"/>
        </w:rPr>
        <w:t>设施设备；</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（九）填河、填湖、填库造地；</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（十）擅自操作河、湖、库的涵闸；</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（十一）擅自关闭和堵塞生态下泄水流通道；</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（十二）擅自开展钻探、开采地下资源、搭建临时设施等。</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t>第二十二条</w:t>
      </w:r>
      <w:r>
        <w:rPr>
          <w:rFonts w:eastAsia="仿宋_GB2312" w:hint="eastAsia"/>
          <w:snapToGrid w:val="0"/>
          <w:color w:val="000000"/>
          <w:sz w:val="32"/>
          <w:szCs w:val="32"/>
        </w:rPr>
        <w:t xml:space="preserve">  </w:t>
      </w:r>
      <w:r>
        <w:rPr>
          <w:rFonts w:eastAsia="仿宋_GB2312" w:hint="eastAsia"/>
          <w:snapToGrid w:val="0"/>
          <w:color w:val="000000"/>
          <w:sz w:val="32"/>
          <w:szCs w:val="32"/>
        </w:rPr>
        <w:t>水行政主管部门应当加</w:t>
      </w:r>
      <w:r>
        <w:rPr>
          <w:rFonts w:eastAsia="仿宋_GB2312" w:hint="eastAsia"/>
          <w:snapToGrid w:val="0"/>
          <w:color w:val="000000"/>
          <w:sz w:val="32"/>
          <w:szCs w:val="32"/>
        </w:rPr>
        <w:t>强河道执法队伍建设，改善执法装备，与相关部门建立信息共享、联合巡查、协同管护、综合整治的工作机制，及时发现和查处河道违法行为。</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p>
    <w:p w:rsidR="00000000" w:rsidRDefault="008D378F">
      <w:pPr>
        <w:topLinePunct/>
        <w:adjustRightInd w:val="0"/>
        <w:snapToGrid w:val="0"/>
        <w:spacing w:line="592" w:lineRule="exact"/>
        <w:jc w:val="center"/>
        <w:rPr>
          <w:rFonts w:eastAsia="黑体" w:hint="eastAsia"/>
          <w:snapToGrid w:val="0"/>
          <w:color w:val="000000"/>
          <w:sz w:val="32"/>
          <w:szCs w:val="32"/>
        </w:rPr>
      </w:pPr>
      <w:r>
        <w:rPr>
          <w:rFonts w:eastAsia="黑体" w:hint="eastAsia"/>
          <w:snapToGrid w:val="0"/>
          <w:color w:val="000000"/>
          <w:sz w:val="32"/>
          <w:szCs w:val="32"/>
        </w:rPr>
        <w:t>第三章</w:t>
      </w:r>
      <w:r>
        <w:rPr>
          <w:rFonts w:eastAsia="黑体" w:hint="eastAsia"/>
          <w:snapToGrid w:val="0"/>
          <w:color w:val="000000"/>
          <w:sz w:val="32"/>
          <w:szCs w:val="32"/>
        </w:rPr>
        <w:t xml:space="preserve">  </w:t>
      </w:r>
      <w:r>
        <w:rPr>
          <w:rFonts w:eastAsia="黑体" w:hint="eastAsia"/>
          <w:snapToGrid w:val="0"/>
          <w:color w:val="000000"/>
          <w:sz w:val="32"/>
          <w:szCs w:val="32"/>
        </w:rPr>
        <w:t>规划与建设</w:t>
      </w:r>
    </w:p>
    <w:p w:rsidR="00000000" w:rsidRDefault="008D378F">
      <w:pPr>
        <w:topLinePunct/>
        <w:adjustRightInd w:val="0"/>
        <w:snapToGrid w:val="0"/>
        <w:spacing w:line="592" w:lineRule="exact"/>
        <w:ind w:firstLineChars="200" w:firstLine="640"/>
        <w:rPr>
          <w:rFonts w:ascii="黑体" w:eastAsia="黑体" w:hAnsi="黑体" w:cs="黑体" w:hint="eastAsia"/>
          <w:snapToGrid w:val="0"/>
          <w:color w:val="000000"/>
          <w:sz w:val="32"/>
          <w:szCs w:val="32"/>
        </w:rPr>
      </w:pP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t>第二十三条</w:t>
      </w:r>
      <w:r>
        <w:rPr>
          <w:rFonts w:eastAsia="仿宋_GB2312" w:hint="eastAsia"/>
          <w:snapToGrid w:val="0"/>
          <w:color w:val="000000"/>
          <w:sz w:val="32"/>
          <w:szCs w:val="32"/>
        </w:rPr>
        <w:t xml:space="preserve">  </w:t>
      </w:r>
      <w:r>
        <w:rPr>
          <w:rFonts w:eastAsia="仿宋_GB2312" w:hint="eastAsia"/>
          <w:snapToGrid w:val="0"/>
          <w:color w:val="000000"/>
          <w:sz w:val="32"/>
          <w:szCs w:val="32"/>
        </w:rPr>
        <w:t>自治州、县（市）水行政主管部门编制河道规划，应服从流域、区域综合规划和水资源保护、防洪等专项规划，并经同级人民政府批准后公布实施。</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依据河道规划编制岸线规划时，应当明确保护区、保留区、限制开发区、开发利用区等分区和岸线控制线方案，并与水功能区划相衔接，突出自然岸线保护和生态修复。</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t>第二十四条</w:t>
      </w:r>
      <w:r>
        <w:rPr>
          <w:rFonts w:eastAsia="仿宋_GB2312" w:hint="eastAsia"/>
          <w:snapToGrid w:val="0"/>
          <w:color w:val="000000"/>
          <w:sz w:val="32"/>
          <w:szCs w:val="32"/>
        </w:rPr>
        <w:t xml:space="preserve">  </w:t>
      </w:r>
      <w:r>
        <w:rPr>
          <w:rFonts w:eastAsia="仿宋_GB2312" w:hint="eastAsia"/>
          <w:snapToGrid w:val="0"/>
          <w:color w:val="000000"/>
          <w:sz w:val="32"/>
          <w:szCs w:val="32"/>
        </w:rPr>
        <w:t>有关部门编制河道航运、渔业、旅游、城乡沿河建设等</w:t>
      </w:r>
      <w:r>
        <w:rPr>
          <w:rFonts w:eastAsia="仿宋_GB2312" w:hint="eastAsia"/>
          <w:snapToGrid w:val="0"/>
          <w:color w:val="000000"/>
          <w:sz w:val="32"/>
          <w:szCs w:val="32"/>
        </w:rPr>
        <w:t>规划和开展有关利用活动，应当事先征求水行政主管部门的意见。</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水行政主管部门根据河道和岸线规划制定年度计划，涉及</w:t>
      </w:r>
      <w:r>
        <w:rPr>
          <w:rFonts w:eastAsia="仿宋_GB2312" w:hint="eastAsia"/>
          <w:snapToGrid w:val="0"/>
          <w:color w:val="000000"/>
          <w:sz w:val="32"/>
          <w:szCs w:val="32"/>
        </w:rPr>
        <w:lastRenderedPageBreak/>
        <w:t>航运、渔业、旅游、市政建设等规划的，应当征求有关部门的意见。</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t>第二十五条</w:t>
      </w:r>
      <w:r>
        <w:rPr>
          <w:rFonts w:eastAsia="仿宋_GB2312" w:hint="eastAsia"/>
          <w:snapToGrid w:val="0"/>
          <w:color w:val="000000"/>
          <w:sz w:val="32"/>
          <w:szCs w:val="32"/>
        </w:rPr>
        <w:t xml:space="preserve">  </w:t>
      </w:r>
      <w:r>
        <w:rPr>
          <w:rFonts w:eastAsia="仿宋_GB2312" w:hint="eastAsia"/>
          <w:snapToGrid w:val="0"/>
          <w:color w:val="000000"/>
          <w:sz w:val="32"/>
          <w:szCs w:val="32"/>
        </w:rPr>
        <w:t>河道整治需要占用土地的，由当地人民政府协调解决，依法办理用地手续；因河道整治新增的可利用土地，优先安排河道整治的移民安置。</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t>第二十六条</w:t>
      </w:r>
      <w:r>
        <w:rPr>
          <w:rFonts w:eastAsia="仿宋_GB2312" w:hint="eastAsia"/>
          <w:snapToGrid w:val="0"/>
          <w:color w:val="000000"/>
          <w:sz w:val="32"/>
          <w:szCs w:val="32"/>
        </w:rPr>
        <w:t xml:space="preserve">  </w:t>
      </w:r>
      <w:r>
        <w:rPr>
          <w:rFonts w:eastAsia="仿宋_GB2312" w:hint="eastAsia"/>
          <w:snapToGrid w:val="0"/>
          <w:color w:val="000000"/>
          <w:sz w:val="32"/>
          <w:szCs w:val="32"/>
        </w:rPr>
        <w:t>自治州和有关县（市）人民政府，应当采取工程、生物、行政等措施，对普者黑、浴仙湖、差黑海、老乌海等重要湖泊实施生态保护与治理。</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t>第二十七条</w:t>
      </w:r>
      <w:r>
        <w:rPr>
          <w:rFonts w:eastAsia="仿宋_GB2312" w:hint="eastAsia"/>
          <w:snapToGrid w:val="0"/>
          <w:color w:val="000000"/>
          <w:sz w:val="32"/>
          <w:szCs w:val="32"/>
        </w:rPr>
        <w:t xml:space="preserve">  </w:t>
      </w:r>
      <w:r>
        <w:rPr>
          <w:rFonts w:eastAsia="仿宋_GB2312" w:hint="eastAsia"/>
          <w:snapToGrid w:val="0"/>
          <w:color w:val="000000"/>
          <w:sz w:val="32"/>
          <w:szCs w:val="32"/>
        </w:rPr>
        <w:t>河道管理范围内修建各类工程和涉河建筑物、构筑物，</w:t>
      </w:r>
      <w:r>
        <w:rPr>
          <w:rFonts w:eastAsia="仿宋_GB2312" w:hint="eastAsia"/>
          <w:snapToGrid w:val="0"/>
          <w:color w:val="000000"/>
          <w:sz w:val="32"/>
          <w:szCs w:val="32"/>
        </w:rPr>
        <w:t>建设方案应当在可行性论证之前，征求水行政主管部门意见。项目设计应当将河道整治纳入计划，同步审批、实施和验收。涉河工程主体项目审查及验收应当有水行政主管部门参加。</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工程施工影响防洪安全的，服从防汛指挥机构紧急处置决定。</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t>第二十八条</w:t>
      </w:r>
      <w:r>
        <w:rPr>
          <w:rFonts w:eastAsia="仿宋_GB2312" w:hint="eastAsia"/>
          <w:snapToGrid w:val="0"/>
          <w:color w:val="000000"/>
          <w:sz w:val="32"/>
          <w:szCs w:val="32"/>
        </w:rPr>
        <w:t xml:space="preserve">  </w:t>
      </w:r>
      <w:r>
        <w:rPr>
          <w:rFonts w:eastAsia="仿宋_GB2312" w:hint="eastAsia"/>
          <w:snapToGrid w:val="0"/>
          <w:color w:val="000000"/>
          <w:sz w:val="32"/>
          <w:szCs w:val="32"/>
        </w:rPr>
        <w:t>在自治州内各级行政分区的边界河和跨界河上开展河道整治和修建引水、排水、阻水、蓄水工程，需经双方或多方协商同意后，报共同的上一级水行政主管部门批准实施。</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未经协商同意和未报经共同的上一级水行政主管部门批准的，不得单方修建。</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p>
    <w:p w:rsidR="00000000" w:rsidRDefault="008D378F">
      <w:pPr>
        <w:topLinePunct/>
        <w:adjustRightInd w:val="0"/>
        <w:snapToGrid w:val="0"/>
        <w:spacing w:line="592" w:lineRule="exact"/>
        <w:jc w:val="center"/>
        <w:rPr>
          <w:rFonts w:eastAsia="黑体" w:hint="eastAsia"/>
          <w:snapToGrid w:val="0"/>
          <w:color w:val="000000"/>
          <w:sz w:val="32"/>
          <w:szCs w:val="32"/>
        </w:rPr>
      </w:pPr>
    </w:p>
    <w:p w:rsidR="00000000" w:rsidRDefault="008D378F">
      <w:pPr>
        <w:topLinePunct/>
        <w:adjustRightInd w:val="0"/>
        <w:snapToGrid w:val="0"/>
        <w:spacing w:line="592" w:lineRule="exact"/>
        <w:jc w:val="center"/>
        <w:rPr>
          <w:rFonts w:eastAsia="黑体" w:hint="eastAsia"/>
          <w:snapToGrid w:val="0"/>
          <w:color w:val="000000"/>
          <w:sz w:val="32"/>
          <w:szCs w:val="32"/>
        </w:rPr>
      </w:pPr>
      <w:r>
        <w:rPr>
          <w:rFonts w:eastAsia="黑体" w:hint="eastAsia"/>
          <w:snapToGrid w:val="0"/>
          <w:color w:val="000000"/>
          <w:sz w:val="32"/>
          <w:szCs w:val="32"/>
        </w:rPr>
        <w:t>第四章</w:t>
      </w:r>
      <w:r>
        <w:rPr>
          <w:rFonts w:eastAsia="黑体" w:hint="eastAsia"/>
          <w:snapToGrid w:val="0"/>
          <w:color w:val="000000"/>
          <w:sz w:val="32"/>
          <w:szCs w:val="32"/>
        </w:rPr>
        <w:t xml:space="preserve">  </w:t>
      </w:r>
      <w:r>
        <w:rPr>
          <w:rFonts w:eastAsia="黑体" w:hint="eastAsia"/>
          <w:snapToGrid w:val="0"/>
          <w:color w:val="000000"/>
          <w:sz w:val="32"/>
          <w:szCs w:val="32"/>
        </w:rPr>
        <w:t>法律责任</w:t>
      </w:r>
    </w:p>
    <w:p w:rsidR="00000000" w:rsidRDefault="008D378F">
      <w:pPr>
        <w:topLinePunct/>
        <w:adjustRightInd w:val="0"/>
        <w:snapToGrid w:val="0"/>
        <w:spacing w:line="592" w:lineRule="exact"/>
        <w:ind w:firstLineChars="200" w:firstLine="640"/>
        <w:rPr>
          <w:rFonts w:ascii="黑体" w:eastAsia="黑体" w:hAnsi="黑体" w:cs="黑体" w:hint="eastAsia"/>
          <w:snapToGrid w:val="0"/>
          <w:color w:val="000000"/>
          <w:sz w:val="32"/>
          <w:szCs w:val="32"/>
        </w:rPr>
      </w:pP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t>第二十九条</w:t>
      </w:r>
      <w:r>
        <w:rPr>
          <w:rFonts w:eastAsia="仿宋_GB2312" w:hint="eastAsia"/>
          <w:snapToGrid w:val="0"/>
          <w:color w:val="000000"/>
          <w:sz w:val="32"/>
          <w:szCs w:val="32"/>
        </w:rPr>
        <w:t xml:space="preserve">  </w:t>
      </w:r>
      <w:r>
        <w:rPr>
          <w:rFonts w:eastAsia="仿宋_GB2312" w:hint="eastAsia"/>
          <w:snapToGrid w:val="0"/>
          <w:color w:val="000000"/>
          <w:sz w:val="32"/>
          <w:szCs w:val="32"/>
        </w:rPr>
        <w:t>国家机关及其工作人</w:t>
      </w:r>
      <w:r>
        <w:rPr>
          <w:rFonts w:eastAsia="仿宋_GB2312" w:hint="eastAsia"/>
          <w:snapToGrid w:val="0"/>
          <w:color w:val="000000"/>
          <w:sz w:val="32"/>
          <w:szCs w:val="32"/>
        </w:rPr>
        <w:t>员在河道管理活动中有下列行为之一的，所在单位或者上级机关应当问责或者依法给予行政处分；构成犯罪的，依法追究刑事责任。</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（一）未履行河道管理职责，完不成河道管理目标责任的；</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（二）不按照规定核发许可证、签署审查同意意见的；</w:t>
      </w:r>
    </w:p>
    <w:p w:rsidR="00000000" w:rsidRDefault="008D378F">
      <w:pPr>
        <w:topLinePunct/>
        <w:adjustRightInd w:val="0"/>
        <w:snapToGrid w:val="0"/>
        <w:spacing w:line="592" w:lineRule="exact"/>
        <w:ind w:firstLineChars="200" w:firstLine="628"/>
        <w:rPr>
          <w:rFonts w:eastAsia="仿宋_GB2312" w:hint="eastAsia"/>
          <w:snapToGrid w:val="0"/>
          <w:color w:val="000000"/>
          <w:sz w:val="32"/>
          <w:szCs w:val="32"/>
        </w:rPr>
      </w:pPr>
      <w:r>
        <w:rPr>
          <w:rFonts w:eastAsia="仿宋_GB2312" w:hint="eastAsia"/>
          <w:snapToGrid w:val="0"/>
          <w:color w:val="000000"/>
          <w:spacing w:val="-3"/>
          <w:sz w:val="32"/>
          <w:szCs w:val="32"/>
        </w:rPr>
        <w:t>（三）发现重大环境污染或者生态破坏事故，不按规定报告</w:t>
      </w:r>
      <w:r>
        <w:rPr>
          <w:rFonts w:eastAsia="仿宋_GB2312" w:hint="eastAsia"/>
          <w:snapToGrid w:val="0"/>
          <w:color w:val="000000"/>
          <w:sz w:val="32"/>
          <w:szCs w:val="32"/>
        </w:rPr>
        <w:t>或者不依法采取处置措施的；</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（四）利用职务上的便利收受他人财物或者其他好处的；</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（五）不按规定收取和解交河道管理规费的；</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（六）发现违法行为不及时查处，造成严重后果的；</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（七）其他玩忽职守、滥用职权、徇私舞弊的。</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t>第三十条</w:t>
      </w:r>
      <w:r>
        <w:rPr>
          <w:rFonts w:eastAsia="仿宋_GB2312" w:hint="eastAsia"/>
          <w:snapToGrid w:val="0"/>
          <w:color w:val="000000"/>
          <w:sz w:val="32"/>
          <w:szCs w:val="32"/>
        </w:rPr>
        <w:t xml:space="preserve">  </w:t>
      </w:r>
      <w:r>
        <w:rPr>
          <w:rFonts w:eastAsia="仿宋_GB2312" w:hint="eastAsia"/>
          <w:snapToGrid w:val="0"/>
          <w:color w:val="000000"/>
          <w:sz w:val="32"/>
          <w:szCs w:val="32"/>
        </w:rPr>
        <w:t>违反本条例第</w:t>
      </w:r>
      <w:r>
        <w:rPr>
          <w:rFonts w:eastAsia="仿宋_GB2312" w:hint="eastAsia"/>
          <w:snapToGrid w:val="0"/>
          <w:color w:val="000000"/>
          <w:sz w:val="32"/>
          <w:szCs w:val="32"/>
        </w:rPr>
        <w:t>十二条、第十五条、第十六条、第十九条规定，有下列行为之一的，由水行政主管部门责令停止违法行为，限期改正，并给予处罚：</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（一）侵占河道管理范围内土地使用权和建筑物、构筑物、附着物，在河道保护范围内实施严重影响和危害河道管理安全的，处以</w:t>
      </w:r>
      <w:r>
        <w:rPr>
          <w:rFonts w:eastAsia="仿宋_GB2312" w:hint="eastAsia"/>
          <w:snapToGrid w:val="0"/>
          <w:color w:val="000000"/>
          <w:sz w:val="32"/>
          <w:szCs w:val="32"/>
        </w:rPr>
        <w:t>1</w:t>
      </w:r>
      <w:r>
        <w:rPr>
          <w:rFonts w:eastAsia="仿宋_GB2312" w:hint="eastAsia"/>
          <w:snapToGrid w:val="0"/>
          <w:color w:val="000000"/>
          <w:sz w:val="32"/>
          <w:szCs w:val="32"/>
        </w:rPr>
        <w:t>万元以上</w:t>
      </w:r>
      <w:r>
        <w:rPr>
          <w:rFonts w:eastAsia="仿宋_GB2312" w:hint="eastAsia"/>
          <w:snapToGrid w:val="0"/>
          <w:color w:val="000000"/>
          <w:sz w:val="32"/>
          <w:szCs w:val="32"/>
        </w:rPr>
        <w:t>5</w:t>
      </w:r>
      <w:r>
        <w:rPr>
          <w:rFonts w:eastAsia="仿宋_GB2312" w:hint="eastAsia"/>
          <w:snapToGrid w:val="0"/>
          <w:color w:val="000000"/>
          <w:sz w:val="32"/>
          <w:szCs w:val="32"/>
        </w:rPr>
        <w:t>万元以下罚款；造成损失的，依法赔偿；</w:t>
      </w:r>
    </w:p>
    <w:p w:rsidR="00000000" w:rsidRDefault="008D378F">
      <w:pPr>
        <w:topLinePunct/>
        <w:adjustRightInd w:val="0"/>
        <w:snapToGrid w:val="0"/>
        <w:spacing w:line="592" w:lineRule="exact"/>
        <w:ind w:firstLineChars="200" w:firstLine="632"/>
        <w:rPr>
          <w:rFonts w:eastAsia="仿宋_GB2312" w:hint="eastAsia"/>
          <w:snapToGrid w:val="0"/>
          <w:color w:val="000000"/>
          <w:sz w:val="32"/>
          <w:szCs w:val="32"/>
        </w:rPr>
      </w:pPr>
      <w:r>
        <w:rPr>
          <w:rFonts w:eastAsia="仿宋_GB2312" w:hint="eastAsia"/>
          <w:snapToGrid w:val="0"/>
          <w:color w:val="000000"/>
          <w:spacing w:val="-2"/>
          <w:sz w:val="32"/>
          <w:szCs w:val="32"/>
        </w:rPr>
        <w:t>（二）不按规定建设和改造生态下泄流量设施、不执行生态</w:t>
      </w:r>
      <w:r>
        <w:rPr>
          <w:rFonts w:eastAsia="仿宋_GB2312" w:hint="eastAsia"/>
          <w:snapToGrid w:val="0"/>
          <w:color w:val="000000"/>
          <w:sz w:val="32"/>
          <w:szCs w:val="32"/>
        </w:rPr>
        <w:t>下泄流量标准、不安装和维护在线监控设备系统的，处</w:t>
      </w:r>
      <w:r>
        <w:rPr>
          <w:rFonts w:eastAsia="仿宋_GB2312" w:hint="eastAsia"/>
          <w:snapToGrid w:val="0"/>
          <w:color w:val="000000"/>
          <w:sz w:val="32"/>
          <w:szCs w:val="32"/>
        </w:rPr>
        <w:t>2</w:t>
      </w:r>
      <w:r>
        <w:rPr>
          <w:rFonts w:eastAsia="仿宋_GB2312" w:hint="eastAsia"/>
          <w:snapToGrid w:val="0"/>
          <w:color w:val="000000"/>
          <w:sz w:val="32"/>
          <w:szCs w:val="32"/>
        </w:rPr>
        <w:t>万元</w:t>
      </w:r>
      <w:r>
        <w:rPr>
          <w:rFonts w:eastAsia="仿宋_GB2312" w:hint="eastAsia"/>
          <w:snapToGrid w:val="0"/>
          <w:color w:val="000000"/>
          <w:sz w:val="32"/>
          <w:szCs w:val="32"/>
        </w:rPr>
        <w:lastRenderedPageBreak/>
        <w:t>以上</w:t>
      </w:r>
      <w:r>
        <w:rPr>
          <w:rFonts w:eastAsia="仿宋_GB2312" w:hint="eastAsia"/>
          <w:snapToGrid w:val="0"/>
          <w:color w:val="000000"/>
          <w:sz w:val="32"/>
          <w:szCs w:val="32"/>
        </w:rPr>
        <w:t>10</w:t>
      </w:r>
      <w:r>
        <w:rPr>
          <w:rFonts w:eastAsia="仿宋_GB2312" w:hint="eastAsia"/>
          <w:snapToGrid w:val="0"/>
          <w:color w:val="000000"/>
          <w:sz w:val="32"/>
          <w:szCs w:val="32"/>
        </w:rPr>
        <w:t>万元以下罚款，并限期改正；逾期不改正的，查封取用水设施设备，吊销取水许可证；</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（三）擅自新建、改建、扩建入河排污口的</w:t>
      </w:r>
      <w:r>
        <w:rPr>
          <w:rFonts w:eastAsia="仿宋_GB2312" w:hint="eastAsia"/>
          <w:snapToGrid w:val="0"/>
          <w:color w:val="000000"/>
          <w:sz w:val="32"/>
          <w:szCs w:val="32"/>
        </w:rPr>
        <w:t>，处</w:t>
      </w:r>
      <w:r>
        <w:rPr>
          <w:rFonts w:eastAsia="仿宋_GB2312" w:hint="eastAsia"/>
          <w:snapToGrid w:val="0"/>
          <w:color w:val="000000"/>
          <w:sz w:val="32"/>
          <w:szCs w:val="32"/>
        </w:rPr>
        <w:t>5000</w:t>
      </w:r>
      <w:r>
        <w:rPr>
          <w:rFonts w:eastAsia="仿宋_GB2312" w:hint="eastAsia"/>
          <w:snapToGrid w:val="0"/>
          <w:color w:val="000000"/>
          <w:sz w:val="32"/>
          <w:szCs w:val="32"/>
        </w:rPr>
        <w:t>元以上</w:t>
      </w:r>
      <w:r>
        <w:rPr>
          <w:rFonts w:eastAsia="仿宋_GB2312" w:hint="eastAsia"/>
          <w:snapToGrid w:val="0"/>
          <w:color w:val="000000"/>
          <w:sz w:val="32"/>
          <w:szCs w:val="32"/>
        </w:rPr>
        <w:t>2</w:t>
      </w:r>
      <w:r>
        <w:rPr>
          <w:rFonts w:eastAsia="仿宋_GB2312" w:hint="eastAsia"/>
          <w:snapToGrid w:val="0"/>
          <w:color w:val="000000"/>
          <w:sz w:val="32"/>
          <w:szCs w:val="32"/>
        </w:rPr>
        <w:t>万元以下罚款；对在饮用水水源保护区内设置的排污口不自行拆除的，依法强制拆除，费用由违法行为人承担。</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t>第三十一条</w:t>
      </w:r>
      <w:r>
        <w:rPr>
          <w:rFonts w:eastAsia="仿宋_GB2312" w:hint="eastAsia"/>
          <w:snapToGrid w:val="0"/>
          <w:color w:val="000000"/>
          <w:sz w:val="32"/>
          <w:szCs w:val="32"/>
        </w:rPr>
        <w:t xml:space="preserve">  </w:t>
      </w:r>
      <w:r>
        <w:rPr>
          <w:rFonts w:eastAsia="仿宋_GB2312" w:hint="eastAsia"/>
          <w:snapToGrid w:val="0"/>
          <w:color w:val="000000"/>
          <w:sz w:val="32"/>
          <w:szCs w:val="32"/>
        </w:rPr>
        <w:t>违反本条例第二十条规定，有下列行为之一的，由水行政主管部门责令停止违法行为，并给予处罚：</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（一）不按河道采砂许可证规定范围和要求采砂的；伪造、涂改、买卖、出租、出借河道采砂许可证或者转让开采范围的，吊销其河道采砂许可证，没收违法所得，处以</w:t>
      </w:r>
      <w:r>
        <w:rPr>
          <w:rFonts w:eastAsia="仿宋_GB2312" w:hint="eastAsia"/>
          <w:snapToGrid w:val="0"/>
          <w:color w:val="000000"/>
          <w:sz w:val="32"/>
          <w:szCs w:val="32"/>
        </w:rPr>
        <w:t>1</w:t>
      </w:r>
      <w:r>
        <w:rPr>
          <w:rFonts w:eastAsia="仿宋_GB2312" w:hint="eastAsia"/>
          <w:snapToGrid w:val="0"/>
          <w:color w:val="000000"/>
          <w:sz w:val="32"/>
          <w:szCs w:val="32"/>
        </w:rPr>
        <w:t>万元以上</w:t>
      </w:r>
      <w:r>
        <w:rPr>
          <w:rFonts w:eastAsia="仿宋_GB2312" w:hint="eastAsia"/>
          <w:snapToGrid w:val="0"/>
          <w:color w:val="000000"/>
          <w:sz w:val="32"/>
          <w:szCs w:val="32"/>
        </w:rPr>
        <w:t>5</w:t>
      </w:r>
      <w:r>
        <w:rPr>
          <w:rFonts w:eastAsia="仿宋_GB2312" w:hint="eastAsia"/>
          <w:snapToGrid w:val="0"/>
          <w:color w:val="000000"/>
          <w:sz w:val="32"/>
          <w:szCs w:val="32"/>
        </w:rPr>
        <w:t>万元以下罚款；</w:t>
      </w:r>
    </w:p>
    <w:p w:rsidR="00000000" w:rsidRDefault="008D378F">
      <w:pPr>
        <w:topLinePunct/>
        <w:adjustRightInd w:val="0"/>
        <w:snapToGrid w:val="0"/>
        <w:spacing w:line="592" w:lineRule="exact"/>
        <w:ind w:firstLineChars="200" w:firstLine="632"/>
        <w:rPr>
          <w:rFonts w:eastAsia="仿宋_GB2312" w:hint="eastAsia"/>
          <w:snapToGrid w:val="0"/>
          <w:color w:val="000000"/>
          <w:sz w:val="32"/>
          <w:szCs w:val="32"/>
        </w:rPr>
      </w:pPr>
      <w:r>
        <w:rPr>
          <w:rFonts w:eastAsia="仿宋_GB2312" w:hint="eastAsia"/>
          <w:snapToGrid w:val="0"/>
          <w:color w:val="000000"/>
          <w:spacing w:val="-2"/>
          <w:sz w:val="32"/>
          <w:szCs w:val="32"/>
        </w:rPr>
        <w:t>（二）未办理河道采砂许可手续采砂的，对自采自用的，给</w:t>
      </w:r>
      <w:r>
        <w:rPr>
          <w:rFonts w:eastAsia="仿宋_GB2312" w:hint="eastAsia"/>
          <w:snapToGrid w:val="0"/>
          <w:color w:val="000000"/>
          <w:sz w:val="32"/>
          <w:szCs w:val="32"/>
        </w:rPr>
        <w:t>予教育或者警告；情节严重的，可以处以</w:t>
      </w:r>
      <w:r>
        <w:rPr>
          <w:rFonts w:eastAsia="仿宋_GB2312" w:hint="eastAsia"/>
          <w:snapToGrid w:val="0"/>
          <w:color w:val="000000"/>
          <w:sz w:val="32"/>
          <w:szCs w:val="32"/>
        </w:rPr>
        <w:t>500</w:t>
      </w:r>
      <w:r>
        <w:rPr>
          <w:rFonts w:eastAsia="仿宋_GB2312" w:hint="eastAsia"/>
          <w:snapToGrid w:val="0"/>
          <w:color w:val="000000"/>
          <w:sz w:val="32"/>
          <w:szCs w:val="32"/>
        </w:rPr>
        <w:t>元以上</w:t>
      </w:r>
      <w:r>
        <w:rPr>
          <w:rFonts w:eastAsia="仿宋_GB2312" w:hint="eastAsia"/>
          <w:snapToGrid w:val="0"/>
          <w:color w:val="000000"/>
          <w:sz w:val="32"/>
          <w:szCs w:val="32"/>
        </w:rPr>
        <w:t>3000</w:t>
      </w:r>
      <w:r>
        <w:rPr>
          <w:rFonts w:eastAsia="仿宋_GB2312" w:hint="eastAsia"/>
          <w:snapToGrid w:val="0"/>
          <w:color w:val="000000"/>
          <w:sz w:val="32"/>
          <w:szCs w:val="32"/>
        </w:rPr>
        <w:t>元以</w:t>
      </w:r>
      <w:r>
        <w:rPr>
          <w:rFonts w:eastAsia="仿宋_GB2312" w:hint="eastAsia"/>
          <w:snapToGrid w:val="0"/>
          <w:color w:val="000000"/>
          <w:sz w:val="32"/>
          <w:szCs w:val="32"/>
        </w:rPr>
        <w:t>下罚款；对经营性采砂行为，没收违法所得及设备，并处以</w:t>
      </w:r>
      <w:r>
        <w:rPr>
          <w:rFonts w:eastAsia="仿宋_GB2312" w:hint="eastAsia"/>
          <w:snapToGrid w:val="0"/>
          <w:color w:val="000000"/>
          <w:sz w:val="32"/>
          <w:szCs w:val="32"/>
        </w:rPr>
        <w:t>1</w:t>
      </w:r>
      <w:r>
        <w:rPr>
          <w:rFonts w:eastAsia="仿宋_GB2312" w:hint="eastAsia"/>
          <w:snapToGrid w:val="0"/>
          <w:color w:val="000000"/>
          <w:sz w:val="32"/>
          <w:szCs w:val="32"/>
        </w:rPr>
        <w:t>万元以上</w:t>
      </w:r>
      <w:r>
        <w:rPr>
          <w:rFonts w:eastAsia="仿宋_GB2312" w:hint="eastAsia"/>
          <w:snapToGrid w:val="0"/>
          <w:color w:val="000000"/>
          <w:sz w:val="32"/>
          <w:szCs w:val="32"/>
        </w:rPr>
        <w:t>5</w:t>
      </w:r>
      <w:r>
        <w:rPr>
          <w:rFonts w:eastAsia="仿宋_GB2312" w:hint="eastAsia"/>
          <w:snapToGrid w:val="0"/>
          <w:color w:val="000000"/>
          <w:sz w:val="32"/>
          <w:szCs w:val="32"/>
        </w:rPr>
        <w:t>万元以下罚款；</w:t>
      </w:r>
    </w:p>
    <w:p w:rsidR="00000000" w:rsidRDefault="008D378F">
      <w:pPr>
        <w:topLinePunct/>
        <w:adjustRightInd w:val="0"/>
        <w:snapToGrid w:val="0"/>
        <w:spacing w:line="592" w:lineRule="exact"/>
        <w:ind w:firstLineChars="200" w:firstLine="632"/>
        <w:rPr>
          <w:rFonts w:eastAsia="仿宋_GB2312" w:hint="eastAsia"/>
          <w:snapToGrid w:val="0"/>
          <w:color w:val="000000"/>
          <w:sz w:val="32"/>
          <w:szCs w:val="32"/>
        </w:rPr>
      </w:pPr>
      <w:r>
        <w:rPr>
          <w:rFonts w:eastAsia="仿宋_GB2312" w:hint="eastAsia"/>
          <w:snapToGrid w:val="0"/>
          <w:color w:val="000000"/>
          <w:spacing w:val="-2"/>
          <w:sz w:val="32"/>
          <w:szCs w:val="32"/>
        </w:rPr>
        <w:t>（三）不依法缴纳河道采砂管理费的，责令限期缴纳；逾期</w:t>
      </w:r>
      <w:r>
        <w:rPr>
          <w:rFonts w:eastAsia="仿宋_GB2312" w:hint="eastAsia"/>
          <w:snapToGrid w:val="0"/>
          <w:color w:val="000000"/>
          <w:sz w:val="32"/>
          <w:szCs w:val="32"/>
        </w:rPr>
        <w:t>不缴纳的，按日加收</w:t>
      </w:r>
      <w:r>
        <w:rPr>
          <w:rFonts w:eastAsia="仿宋_GB2312" w:hint="eastAsia"/>
          <w:snapToGrid w:val="0"/>
          <w:color w:val="000000"/>
          <w:sz w:val="32"/>
          <w:szCs w:val="32"/>
        </w:rPr>
        <w:t>3</w:t>
      </w:r>
      <w:r>
        <w:rPr>
          <w:rFonts w:eastAsia="仿宋_GB2312" w:hint="eastAsia"/>
          <w:snapToGrid w:val="0"/>
          <w:color w:val="000000"/>
          <w:sz w:val="32"/>
          <w:szCs w:val="32"/>
        </w:rPr>
        <w:t>‰的滞纳金；拒绝或者拖欠缴纳的，处以应缴金额</w:t>
      </w:r>
      <w:r>
        <w:rPr>
          <w:rFonts w:eastAsia="仿宋_GB2312" w:hint="eastAsia"/>
          <w:snapToGrid w:val="0"/>
          <w:color w:val="000000"/>
          <w:sz w:val="32"/>
          <w:szCs w:val="32"/>
        </w:rPr>
        <w:t>2</w:t>
      </w:r>
      <w:r>
        <w:rPr>
          <w:rFonts w:eastAsia="仿宋_GB2312" w:hint="eastAsia"/>
          <w:snapToGrid w:val="0"/>
          <w:color w:val="000000"/>
          <w:sz w:val="32"/>
          <w:szCs w:val="32"/>
        </w:rPr>
        <w:t>倍以上</w:t>
      </w:r>
      <w:r>
        <w:rPr>
          <w:rFonts w:eastAsia="仿宋_GB2312" w:hint="eastAsia"/>
          <w:snapToGrid w:val="0"/>
          <w:color w:val="000000"/>
          <w:sz w:val="32"/>
          <w:szCs w:val="32"/>
        </w:rPr>
        <w:t>5</w:t>
      </w:r>
      <w:r>
        <w:rPr>
          <w:rFonts w:eastAsia="仿宋_GB2312" w:hint="eastAsia"/>
          <w:snapToGrid w:val="0"/>
          <w:color w:val="000000"/>
          <w:sz w:val="32"/>
          <w:szCs w:val="32"/>
        </w:rPr>
        <w:t>倍以下罚款，并吊销其河道采砂许可证；</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t>第三十二条</w:t>
      </w:r>
      <w:r>
        <w:rPr>
          <w:rFonts w:eastAsia="仿宋_GB2312" w:hint="eastAsia"/>
          <w:snapToGrid w:val="0"/>
          <w:color w:val="000000"/>
          <w:sz w:val="32"/>
          <w:szCs w:val="32"/>
        </w:rPr>
        <w:t xml:space="preserve">  </w:t>
      </w:r>
      <w:r>
        <w:rPr>
          <w:rFonts w:eastAsia="仿宋_GB2312" w:hint="eastAsia"/>
          <w:snapToGrid w:val="0"/>
          <w:color w:val="000000"/>
          <w:sz w:val="32"/>
          <w:szCs w:val="32"/>
        </w:rPr>
        <w:t>违反本条例第二十一条规定行为之一的，由水行政主管部门责令停止违法行为，限期采取补救措施，并按照下列规定处罚；造成损失的予以赔偿；需要依法强制清理、拆除的，费用由违法行为人承担：</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lastRenderedPageBreak/>
        <w:t>（一）违反第一项、第二项规定的，处以</w:t>
      </w:r>
      <w:r>
        <w:rPr>
          <w:rFonts w:eastAsia="仿宋_GB2312" w:hint="eastAsia"/>
          <w:snapToGrid w:val="0"/>
          <w:color w:val="000000"/>
          <w:sz w:val="32"/>
          <w:szCs w:val="32"/>
        </w:rPr>
        <w:t>2000</w:t>
      </w:r>
      <w:r>
        <w:rPr>
          <w:rFonts w:eastAsia="仿宋_GB2312" w:hint="eastAsia"/>
          <w:snapToGrid w:val="0"/>
          <w:color w:val="000000"/>
          <w:sz w:val="32"/>
          <w:szCs w:val="32"/>
        </w:rPr>
        <w:t>元以上</w:t>
      </w:r>
      <w:r>
        <w:rPr>
          <w:rFonts w:eastAsia="仿宋_GB2312" w:hint="eastAsia"/>
          <w:snapToGrid w:val="0"/>
          <w:color w:val="000000"/>
          <w:sz w:val="32"/>
          <w:szCs w:val="32"/>
        </w:rPr>
        <w:t>1</w:t>
      </w:r>
      <w:r>
        <w:rPr>
          <w:rFonts w:eastAsia="仿宋_GB2312" w:hint="eastAsia"/>
          <w:snapToGrid w:val="0"/>
          <w:color w:val="000000"/>
          <w:sz w:val="32"/>
          <w:szCs w:val="32"/>
        </w:rPr>
        <w:t>万元以下罚款；</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eastAsia="仿宋_GB2312" w:hint="eastAsia"/>
          <w:snapToGrid w:val="0"/>
          <w:color w:val="000000"/>
          <w:sz w:val="32"/>
          <w:szCs w:val="32"/>
        </w:rPr>
        <w:t>（二）违</w:t>
      </w:r>
      <w:r>
        <w:rPr>
          <w:rFonts w:eastAsia="仿宋_GB2312" w:hint="eastAsia"/>
          <w:snapToGrid w:val="0"/>
          <w:color w:val="000000"/>
          <w:sz w:val="32"/>
          <w:szCs w:val="32"/>
        </w:rPr>
        <w:t>反第三项至第六项规定的，处以</w:t>
      </w:r>
      <w:r>
        <w:rPr>
          <w:rFonts w:eastAsia="仿宋_GB2312" w:hint="eastAsia"/>
          <w:snapToGrid w:val="0"/>
          <w:color w:val="000000"/>
          <w:sz w:val="32"/>
          <w:szCs w:val="32"/>
        </w:rPr>
        <w:t>5000</w:t>
      </w:r>
      <w:r>
        <w:rPr>
          <w:rFonts w:eastAsia="仿宋_GB2312" w:hint="eastAsia"/>
          <w:snapToGrid w:val="0"/>
          <w:color w:val="000000"/>
          <w:sz w:val="32"/>
          <w:szCs w:val="32"/>
        </w:rPr>
        <w:t>元以上</w:t>
      </w:r>
      <w:r>
        <w:rPr>
          <w:rFonts w:eastAsia="仿宋_GB2312" w:hint="eastAsia"/>
          <w:snapToGrid w:val="0"/>
          <w:color w:val="000000"/>
          <w:sz w:val="32"/>
          <w:szCs w:val="32"/>
        </w:rPr>
        <w:t>2</w:t>
      </w:r>
      <w:r>
        <w:rPr>
          <w:rFonts w:eastAsia="仿宋_GB2312" w:hint="eastAsia"/>
          <w:snapToGrid w:val="0"/>
          <w:color w:val="000000"/>
          <w:sz w:val="32"/>
          <w:szCs w:val="32"/>
        </w:rPr>
        <w:t>万元以下罚款；</w:t>
      </w:r>
    </w:p>
    <w:p w:rsidR="00000000" w:rsidRDefault="008D378F">
      <w:pPr>
        <w:topLinePunct/>
        <w:adjustRightInd w:val="0"/>
        <w:snapToGrid w:val="0"/>
        <w:spacing w:line="592" w:lineRule="exact"/>
        <w:ind w:firstLineChars="200" w:firstLine="628"/>
        <w:rPr>
          <w:rFonts w:eastAsia="仿宋_GB2312" w:hint="eastAsia"/>
          <w:snapToGrid w:val="0"/>
          <w:color w:val="000000"/>
          <w:sz w:val="32"/>
          <w:szCs w:val="32"/>
        </w:rPr>
      </w:pPr>
      <w:r>
        <w:rPr>
          <w:rFonts w:eastAsia="仿宋_GB2312" w:hint="eastAsia"/>
          <w:snapToGrid w:val="0"/>
          <w:color w:val="000000"/>
          <w:spacing w:val="-3"/>
          <w:sz w:val="32"/>
          <w:szCs w:val="32"/>
        </w:rPr>
        <w:t>（三）违反第七项至第十二项规定的，处以</w:t>
      </w:r>
      <w:r>
        <w:rPr>
          <w:rFonts w:eastAsia="仿宋_GB2312" w:hint="eastAsia"/>
          <w:snapToGrid w:val="0"/>
          <w:color w:val="000000"/>
          <w:spacing w:val="-3"/>
          <w:sz w:val="32"/>
          <w:szCs w:val="32"/>
        </w:rPr>
        <w:t>1</w:t>
      </w:r>
      <w:r>
        <w:rPr>
          <w:rFonts w:eastAsia="仿宋_GB2312" w:hint="eastAsia"/>
          <w:snapToGrid w:val="0"/>
          <w:color w:val="000000"/>
          <w:spacing w:val="-3"/>
          <w:sz w:val="32"/>
          <w:szCs w:val="32"/>
        </w:rPr>
        <w:t>万元以上</w:t>
      </w:r>
      <w:r>
        <w:rPr>
          <w:rFonts w:eastAsia="仿宋_GB2312" w:hint="eastAsia"/>
          <w:snapToGrid w:val="0"/>
          <w:color w:val="000000"/>
          <w:spacing w:val="-3"/>
          <w:sz w:val="32"/>
          <w:szCs w:val="32"/>
        </w:rPr>
        <w:t>5</w:t>
      </w:r>
      <w:r>
        <w:rPr>
          <w:rFonts w:eastAsia="仿宋_GB2312" w:hint="eastAsia"/>
          <w:snapToGrid w:val="0"/>
          <w:color w:val="000000"/>
          <w:spacing w:val="-3"/>
          <w:sz w:val="32"/>
          <w:szCs w:val="32"/>
        </w:rPr>
        <w:t>万</w:t>
      </w:r>
      <w:r>
        <w:rPr>
          <w:rFonts w:eastAsia="仿宋_GB2312" w:hint="eastAsia"/>
          <w:snapToGrid w:val="0"/>
          <w:color w:val="000000"/>
          <w:sz w:val="32"/>
          <w:szCs w:val="32"/>
        </w:rPr>
        <w:t>元以下罚款。</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t>第三十三条</w:t>
      </w:r>
      <w:r>
        <w:rPr>
          <w:rFonts w:eastAsia="仿宋_GB2312" w:hint="eastAsia"/>
          <w:snapToGrid w:val="0"/>
          <w:color w:val="000000"/>
          <w:sz w:val="32"/>
          <w:szCs w:val="32"/>
        </w:rPr>
        <w:t xml:space="preserve">  </w:t>
      </w:r>
      <w:r>
        <w:rPr>
          <w:rFonts w:eastAsia="仿宋_GB2312" w:hint="eastAsia"/>
          <w:snapToGrid w:val="0"/>
          <w:color w:val="000000"/>
          <w:sz w:val="32"/>
          <w:szCs w:val="32"/>
        </w:rPr>
        <w:t>违反本条例第二十八条规定行为之一的，由水行政主管部门责令停止违法行为，限期补办报批手续或者进行改造，并处</w:t>
      </w:r>
      <w:r>
        <w:rPr>
          <w:rFonts w:eastAsia="仿宋_GB2312" w:hint="eastAsia"/>
          <w:snapToGrid w:val="0"/>
          <w:color w:val="000000"/>
          <w:sz w:val="32"/>
          <w:szCs w:val="32"/>
        </w:rPr>
        <w:t>1</w:t>
      </w:r>
      <w:r>
        <w:rPr>
          <w:rFonts w:eastAsia="仿宋_GB2312" w:hint="eastAsia"/>
          <w:snapToGrid w:val="0"/>
          <w:color w:val="000000"/>
          <w:sz w:val="32"/>
          <w:szCs w:val="32"/>
        </w:rPr>
        <w:t>万元以上</w:t>
      </w:r>
      <w:r>
        <w:rPr>
          <w:rFonts w:eastAsia="仿宋_GB2312" w:hint="eastAsia"/>
          <w:snapToGrid w:val="0"/>
          <w:color w:val="000000"/>
          <w:sz w:val="32"/>
          <w:szCs w:val="32"/>
        </w:rPr>
        <w:t>5</w:t>
      </w:r>
      <w:r>
        <w:rPr>
          <w:rFonts w:eastAsia="仿宋_GB2312" w:hint="eastAsia"/>
          <w:snapToGrid w:val="0"/>
          <w:color w:val="000000"/>
          <w:sz w:val="32"/>
          <w:szCs w:val="32"/>
        </w:rPr>
        <w:t>万元以下罚款；补办手续未被批准或者改造达不到要求的，责令限期拆除，恢复原状或者采取补救措施；当事人逾期不执行的，由水行政主管部门依法强制执行，所需费用由建设方承担。</w:t>
      </w: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p>
    <w:p w:rsidR="00000000" w:rsidRDefault="008D378F">
      <w:pPr>
        <w:topLinePunct/>
        <w:adjustRightInd w:val="0"/>
        <w:snapToGrid w:val="0"/>
        <w:spacing w:line="592" w:lineRule="exact"/>
        <w:jc w:val="center"/>
        <w:rPr>
          <w:rFonts w:eastAsia="黑体" w:hint="eastAsia"/>
          <w:snapToGrid w:val="0"/>
          <w:color w:val="000000"/>
          <w:sz w:val="32"/>
          <w:szCs w:val="32"/>
        </w:rPr>
      </w:pPr>
      <w:r>
        <w:rPr>
          <w:rFonts w:eastAsia="黑体" w:hint="eastAsia"/>
          <w:snapToGrid w:val="0"/>
          <w:color w:val="000000"/>
          <w:sz w:val="32"/>
          <w:szCs w:val="32"/>
        </w:rPr>
        <w:t>第五章</w:t>
      </w:r>
      <w:r>
        <w:rPr>
          <w:rFonts w:eastAsia="黑体" w:hint="eastAsia"/>
          <w:snapToGrid w:val="0"/>
          <w:color w:val="000000"/>
          <w:sz w:val="32"/>
          <w:szCs w:val="32"/>
        </w:rPr>
        <w:t xml:space="preserve">  </w:t>
      </w:r>
      <w:r>
        <w:rPr>
          <w:rFonts w:eastAsia="黑体" w:hint="eastAsia"/>
          <w:snapToGrid w:val="0"/>
          <w:color w:val="000000"/>
          <w:sz w:val="32"/>
          <w:szCs w:val="32"/>
        </w:rPr>
        <w:t>附则</w:t>
      </w:r>
    </w:p>
    <w:p w:rsidR="00000000" w:rsidRDefault="008D378F">
      <w:pPr>
        <w:topLinePunct/>
        <w:adjustRightInd w:val="0"/>
        <w:snapToGrid w:val="0"/>
        <w:spacing w:line="592" w:lineRule="exact"/>
        <w:ind w:firstLineChars="200" w:firstLine="640"/>
        <w:rPr>
          <w:rFonts w:ascii="黑体" w:eastAsia="黑体" w:hAnsi="黑体" w:cs="黑体" w:hint="eastAsia"/>
          <w:snapToGrid w:val="0"/>
          <w:color w:val="000000"/>
          <w:sz w:val="32"/>
          <w:szCs w:val="32"/>
        </w:rPr>
      </w:pPr>
    </w:p>
    <w:p w:rsidR="00000000" w:rsidRDefault="008D378F">
      <w:pPr>
        <w:topLinePunct/>
        <w:adjustRightInd w:val="0"/>
        <w:snapToGrid w:val="0"/>
        <w:spacing w:line="592" w:lineRule="exact"/>
        <w:ind w:firstLineChars="200" w:firstLine="640"/>
        <w:rPr>
          <w:rFonts w:eastAsia="仿宋_GB2312" w:hint="eastAsia"/>
          <w:snapToGrid w:val="0"/>
          <w:color w:val="000000"/>
          <w:sz w:val="32"/>
          <w:szCs w:val="32"/>
        </w:rPr>
      </w:pPr>
      <w:r>
        <w:rPr>
          <w:rFonts w:ascii="黑体" w:eastAsia="黑体" w:hAnsi="黑体" w:cs="黑体" w:hint="eastAsia"/>
          <w:snapToGrid w:val="0"/>
          <w:color w:val="000000"/>
          <w:sz w:val="32"/>
          <w:szCs w:val="32"/>
        </w:rPr>
        <w:t>第三十四条</w:t>
      </w:r>
      <w:r>
        <w:rPr>
          <w:rFonts w:eastAsia="仿宋_GB2312" w:hint="eastAsia"/>
          <w:snapToGrid w:val="0"/>
          <w:color w:val="000000"/>
          <w:sz w:val="32"/>
          <w:szCs w:val="32"/>
        </w:rPr>
        <w:t xml:space="preserve">  </w:t>
      </w:r>
      <w:r>
        <w:rPr>
          <w:rFonts w:eastAsia="仿宋_GB2312" w:hint="eastAsia"/>
          <w:snapToGrid w:val="0"/>
          <w:color w:val="000000"/>
          <w:sz w:val="32"/>
          <w:szCs w:val="32"/>
        </w:rPr>
        <w:t>自治州人民政府可以根据本条例制定实施办法。</w:t>
      </w:r>
    </w:p>
    <w:p w:rsidR="008D378F" w:rsidRDefault="008D378F">
      <w:pPr>
        <w:topLinePunct/>
        <w:adjustRightInd w:val="0"/>
        <w:snapToGrid w:val="0"/>
        <w:spacing w:line="592" w:lineRule="exact"/>
        <w:ind w:firstLineChars="200" w:firstLine="640"/>
        <w:rPr>
          <w:rFonts w:eastAsia="仿宋_GB2312" w:hint="eastAsia"/>
          <w:snapToGrid w:val="0"/>
          <w:color w:val="000000"/>
          <w:sz w:val="28"/>
          <w:szCs w:val="28"/>
        </w:rPr>
      </w:pPr>
      <w:r>
        <w:rPr>
          <w:rFonts w:ascii="黑体" w:eastAsia="黑体" w:hAnsi="黑体" w:cs="黑体" w:hint="eastAsia"/>
          <w:snapToGrid w:val="0"/>
          <w:color w:val="000000"/>
          <w:sz w:val="32"/>
          <w:szCs w:val="32"/>
        </w:rPr>
        <w:t>第三十五条</w:t>
      </w:r>
      <w:r>
        <w:rPr>
          <w:rFonts w:eastAsia="仿宋_GB2312" w:hint="eastAsia"/>
          <w:snapToGrid w:val="0"/>
          <w:color w:val="000000"/>
          <w:sz w:val="32"/>
          <w:szCs w:val="32"/>
        </w:rPr>
        <w:t xml:space="preserve"> </w:t>
      </w:r>
      <w:r>
        <w:rPr>
          <w:rFonts w:eastAsia="仿宋_GB2312" w:hint="eastAsia"/>
          <w:snapToGrid w:val="0"/>
          <w:color w:val="000000"/>
          <w:sz w:val="32"/>
          <w:szCs w:val="32"/>
        </w:rPr>
        <w:t xml:space="preserve"> </w:t>
      </w:r>
      <w:r>
        <w:rPr>
          <w:rFonts w:eastAsia="仿宋_GB2312" w:hint="eastAsia"/>
          <w:snapToGrid w:val="0"/>
          <w:color w:val="000000"/>
          <w:sz w:val="32"/>
          <w:szCs w:val="32"/>
        </w:rPr>
        <w:t>本条例自</w:t>
      </w:r>
      <w:r>
        <w:rPr>
          <w:rFonts w:eastAsia="仿宋_GB2312" w:hint="eastAsia"/>
          <w:snapToGrid w:val="0"/>
          <w:color w:val="000000"/>
          <w:sz w:val="32"/>
          <w:szCs w:val="32"/>
        </w:rPr>
        <w:t>2016</w:t>
      </w:r>
      <w:r>
        <w:rPr>
          <w:rFonts w:eastAsia="仿宋_GB2312" w:hint="eastAsia"/>
          <w:snapToGrid w:val="0"/>
          <w:color w:val="000000"/>
          <w:sz w:val="32"/>
          <w:szCs w:val="32"/>
        </w:rPr>
        <w:t>年</w:t>
      </w:r>
      <w:r>
        <w:rPr>
          <w:rFonts w:eastAsia="仿宋_GB2312" w:hint="eastAsia"/>
          <w:snapToGrid w:val="0"/>
          <w:color w:val="000000"/>
          <w:sz w:val="32"/>
          <w:szCs w:val="32"/>
        </w:rPr>
        <w:t>12</w:t>
      </w:r>
      <w:r>
        <w:rPr>
          <w:rFonts w:eastAsia="仿宋_GB2312" w:hint="eastAsia"/>
          <w:snapToGrid w:val="0"/>
          <w:color w:val="000000"/>
          <w:sz w:val="32"/>
          <w:szCs w:val="32"/>
        </w:rPr>
        <w:t>月</w:t>
      </w:r>
      <w:r>
        <w:rPr>
          <w:rFonts w:eastAsia="仿宋_GB2312" w:hint="eastAsia"/>
          <w:snapToGrid w:val="0"/>
          <w:color w:val="000000"/>
          <w:sz w:val="32"/>
          <w:szCs w:val="32"/>
        </w:rPr>
        <w:t>1</w:t>
      </w:r>
      <w:r>
        <w:rPr>
          <w:rFonts w:eastAsia="仿宋_GB2312" w:hint="eastAsia"/>
          <w:snapToGrid w:val="0"/>
          <w:color w:val="000000"/>
          <w:sz w:val="32"/>
          <w:szCs w:val="32"/>
        </w:rPr>
        <w:t>日起施行。</w:t>
      </w:r>
    </w:p>
    <w:sectPr w:rsidR="008D378F">
      <w:headerReference w:type="default" r:id="rId6"/>
      <w:footerReference w:type="even" r:id="rId7"/>
      <w:footerReference w:type="default" r:id="rId8"/>
      <w:pgSz w:w="11906" w:h="16838"/>
      <w:pgMar w:top="1928" w:right="1588" w:bottom="1871" w:left="1588" w:header="1418"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378F" w:rsidRDefault="008D378F">
      <w:r>
        <w:separator/>
      </w:r>
    </w:p>
  </w:endnote>
  <w:endnote w:type="continuationSeparator" w:id="1">
    <w:p w:rsidR="008D378F" w:rsidRDefault="008D37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
    <w:altName w:val="Times New Roman"/>
    <w:charset w:val="00"/>
    <w:family w:val="roman"/>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_GB2312">
    <w:altName w:val="Times New Roman"/>
    <w:charset w:val="00"/>
    <w:family w:val="roman"/>
    <w:pitch w:val="default"/>
    <w:sig w:usb0="00000000" w:usb1="00000000" w:usb2="00000000" w:usb3="00000000" w:csb0="00040001" w:csb1="00000000"/>
  </w:font>
  <w:font w:name="华文中宋">
    <w:panose1 w:val="02010600040101010101"/>
    <w:charset w:val="86"/>
    <w:family w:val="auto"/>
    <w:pitch w:val="variable"/>
    <w:sig w:usb0="00000287" w:usb1="080F0000" w:usb2="00000010" w:usb3="00000000" w:csb0="0004009F" w:csb1="00000000"/>
  </w:font>
  <w:font w:name="方正小标宋简体">
    <w:charset w:val="86"/>
    <w:family w:val="script"/>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D378F">
    <w:pPr>
      <w:pStyle w:val="a7"/>
      <w:framePr w:wrap="around" w:vAnchor="text" w:hAnchor="margin" w:xAlign="outside" w:y="1"/>
      <w:rPr>
        <w:rStyle w:val="a3"/>
      </w:rPr>
    </w:pPr>
    <w:r>
      <w:fldChar w:fldCharType="begin"/>
    </w:r>
    <w:r>
      <w:rPr>
        <w:rStyle w:val="a3"/>
      </w:rPr>
      <w:instrText xml:space="preserve">PAGE  </w:instrText>
    </w:r>
    <w:r>
      <w:fldChar w:fldCharType="separate"/>
    </w:r>
    <w:r>
      <w:rPr>
        <w:rStyle w:val="a3"/>
        <w:lang w:val="en-US" w:eastAsia="zh-CN"/>
      </w:rPr>
      <w:t>22</w:t>
    </w:r>
    <w:r>
      <w:fldChar w:fldCharType="end"/>
    </w:r>
  </w:p>
  <w:p w:rsidR="00000000" w:rsidRDefault="008D378F">
    <w:pPr>
      <w:pStyle w:val="a7"/>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D378F">
    <w:pPr>
      <w:pStyle w:val="a7"/>
      <w:framePr w:wrap="around" w:vAnchor="text" w:hAnchor="margin" w:xAlign="outside" w:y="1"/>
      <w:rPr>
        <w:rStyle w:val="a3"/>
        <w:rFonts w:hint="eastAsia"/>
        <w:sz w:val="28"/>
        <w:szCs w:val="28"/>
      </w:rPr>
    </w:pPr>
    <w:r>
      <w:rPr>
        <w:rStyle w:val="a3"/>
        <w:rFonts w:hint="eastAsia"/>
        <w:color w:val="FFFFFF"/>
        <w:sz w:val="28"/>
        <w:szCs w:val="28"/>
      </w:rPr>
      <w:t>—</w:t>
    </w:r>
    <w:r>
      <w:rPr>
        <w:rStyle w:val="a3"/>
        <w:rFonts w:hint="eastAsia"/>
        <w:sz w:val="28"/>
        <w:szCs w:val="28"/>
      </w:rPr>
      <w:t>—</w:t>
    </w:r>
    <w:r>
      <w:rPr>
        <w:rStyle w:val="a3"/>
        <w:rFonts w:ascii="宋体" w:hAnsi="宋体" w:hint="eastAsia"/>
        <w:sz w:val="28"/>
        <w:szCs w:val="28"/>
      </w:rPr>
      <w:t xml:space="preserve"> </w:t>
    </w:r>
    <w:r>
      <w:rPr>
        <w:sz w:val="28"/>
        <w:szCs w:val="28"/>
      </w:rPr>
      <w:fldChar w:fldCharType="begin"/>
    </w:r>
    <w:r>
      <w:rPr>
        <w:rStyle w:val="a3"/>
        <w:sz w:val="28"/>
        <w:szCs w:val="28"/>
      </w:rPr>
      <w:instrText xml:space="preserve">PAGE  </w:instrText>
    </w:r>
    <w:r>
      <w:rPr>
        <w:sz w:val="28"/>
        <w:szCs w:val="28"/>
      </w:rPr>
      <w:fldChar w:fldCharType="separate"/>
    </w:r>
    <w:r w:rsidR="007C1C85">
      <w:rPr>
        <w:rStyle w:val="a3"/>
        <w:noProof/>
        <w:sz w:val="28"/>
        <w:szCs w:val="28"/>
      </w:rPr>
      <w:t>2</w:t>
    </w:r>
    <w:r>
      <w:rPr>
        <w:sz w:val="28"/>
        <w:szCs w:val="28"/>
      </w:rPr>
      <w:fldChar w:fldCharType="end"/>
    </w:r>
    <w:r>
      <w:rPr>
        <w:rStyle w:val="a3"/>
        <w:rFonts w:ascii="宋体" w:hAnsi="宋体" w:hint="eastAsia"/>
        <w:sz w:val="28"/>
        <w:szCs w:val="28"/>
      </w:rPr>
      <w:t xml:space="preserve"> </w:t>
    </w:r>
    <w:r>
      <w:rPr>
        <w:rStyle w:val="a3"/>
        <w:rFonts w:hint="eastAsia"/>
        <w:sz w:val="28"/>
        <w:szCs w:val="28"/>
      </w:rPr>
      <w:t>—</w:t>
    </w:r>
    <w:r>
      <w:rPr>
        <w:rStyle w:val="a3"/>
        <w:rFonts w:hint="eastAsia"/>
        <w:color w:val="FFFFFF"/>
        <w:sz w:val="28"/>
        <w:szCs w:val="28"/>
      </w:rPr>
      <w:t>—</w:t>
    </w:r>
  </w:p>
  <w:p w:rsidR="00000000" w:rsidRDefault="008D378F">
    <w:pPr>
      <w:pStyle w:val="a7"/>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378F" w:rsidRDefault="008D378F">
      <w:r>
        <w:separator/>
      </w:r>
    </w:p>
  </w:footnote>
  <w:footnote w:type="continuationSeparator" w:id="1">
    <w:p w:rsidR="008D378F" w:rsidRDefault="008D37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D378F">
    <w:pPr>
      <w:pStyle w:val="aa"/>
      <w:pBdr>
        <w:bottom w:val="none" w:sz="0" w:space="0" w:color="auto"/>
      </w:pBdr>
      <w:jc w:val="both"/>
      <w:rPr>
        <w:rFonts w:hint="eastAsia"/>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6"/>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1C85"/>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378F"/>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2EE"/>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12F7"/>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3483E9C"/>
    <w:rsid w:val="03725DA2"/>
    <w:rsid w:val="03AA425A"/>
    <w:rsid w:val="04AC67D7"/>
    <w:rsid w:val="055738E2"/>
    <w:rsid w:val="05B2729B"/>
    <w:rsid w:val="063471CF"/>
    <w:rsid w:val="06621D77"/>
    <w:rsid w:val="07371156"/>
    <w:rsid w:val="07A64EE4"/>
    <w:rsid w:val="08395CDD"/>
    <w:rsid w:val="08481FD7"/>
    <w:rsid w:val="093C4DED"/>
    <w:rsid w:val="099C2190"/>
    <w:rsid w:val="09E70227"/>
    <w:rsid w:val="0BAC50A0"/>
    <w:rsid w:val="0BDA20A4"/>
    <w:rsid w:val="0C4C5FC8"/>
    <w:rsid w:val="0F432942"/>
    <w:rsid w:val="0F80616C"/>
    <w:rsid w:val="104770DD"/>
    <w:rsid w:val="10BC3586"/>
    <w:rsid w:val="12D82A4B"/>
    <w:rsid w:val="12FF7110"/>
    <w:rsid w:val="15385104"/>
    <w:rsid w:val="15D23C26"/>
    <w:rsid w:val="16E10FCB"/>
    <w:rsid w:val="173E3078"/>
    <w:rsid w:val="17C87770"/>
    <w:rsid w:val="17DF3DCA"/>
    <w:rsid w:val="18083121"/>
    <w:rsid w:val="18D04371"/>
    <w:rsid w:val="19E83D12"/>
    <w:rsid w:val="1C9214BA"/>
    <w:rsid w:val="1E631735"/>
    <w:rsid w:val="1EB75996"/>
    <w:rsid w:val="200A4218"/>
    <w:rsid w:val="209F14DD"/>
    <w:rsid w:val="23C2789A"/>
    <w:rsid w:val="250E238F"/>
    <w:rsid w:val="25F61527"/>
    <w:rsid w:val="264A5318"/>
    <w:rsid w:val="272C056F"/>
    <w:rsid w:val="27AE09A7"/>
    <w:rsid w:val="27D2081F"/>
    <w:rsid w:val="27D72A87"/>
    <w:rsid w:val="288E7272"/>
    <w:rsid w:val="28E047D0"/>
    <w:rsid w:val="2A031922"/>
    <w:rsid w:val="2A344603"/>
    <w:rsid w:val="2A42704E"/>
    <w:rsid w:val="2ACD730B"/>
    <w:rsid w:val="2ADA6BA1"/>
    <w:rsid w:val="2AF878E4"/>
    <w:rsid w:val="2BA13F18"/>
    <w:rsid w:val="2C237545"/>
    <w:rsid w:val="2C544CC9"/>
    <w:rsid w:val="2C7F11E1"/>
    <w:rsid w:val="2CC00283"/>
    <w:rsid w:val="2D880546"/>
    <w:rsid w:val="2EA807B7"/>
    <w:rsid w:val="2FA400BC"/>
    <w:rsid w:val="2FD20DE7"/>
    <w:rsid w:val="30142D76"/>
    <w:rsid w:val="30985B1F"/>
    <w:rsid w:val="31D565CF"/>
    <w:rsid w:val="31E852DF"/>
    <w:rsid w:val="3227033C"/>
    <w:rsid w:val="323721DA"/>
    <w:rsid w:val="335A6D3E"/>
    <w:rsid w:val="34B279E7"/>
    <w:rsid w:val="357B15B6"/>
    <w:rsid w:val="3650253F"/>
    <w:rsid w:val="36C773A9"/>
    <w:rsid w:val="36D84151"/>
    <w:rsid w:val="378054EB"/>
    <w:rsid w:val="38727EB2"/>
    <w:rsid w:val="38B051D1"/>
    <w:rsid w:val="39812A29"/>
    <w:rsid w:val="39E57A10"/>
    <w:rsid w:val="3B800087"/>
    <w:rsid w:val="3BDE0266"/>
    <w:rsid w:val="3C751D60"/>
    <w:rsid w:val="3D13196F"/>
    <w:rsid w:val="3D8C73C0"/>
    <w:rsid w:val="3E412A63"/>
    <w:rsid w:val="3E7C54D1"/>
    <w:rsid w:val="3F5053F6"/>
    <w:rsid w:val="3FBF5AEA"/>
    <w:rsid w:val="3FC65C2E"/>
    <w:rsid w:val="3FDC5B7F"/>
    <w:rsid w:val="402762EF"/>
    <w:rsid w:val="4216656B"/>
    <w:rsid w:val="44B76FD0"/>
    <w:rsid w:val="45473BE3"/>
    <w:rsid w:val="45490F82"/>
    <w:rsid w:val="4556704F"/>
    <w:rsid w:val="455D5C36"/>
    <w:rsid w:val="45A77C0D"/>
    <w:rsid w:val="46724E09"/>
    <w:rsid w:val="47B52EC3"/>
    <w:rsid w:val="47C4011C"/>
    <w:rsid w:val="480037C0"/>
    <w:rsid w:val="48BC2ABD"/>
    <w:rsid w:val="497F1939"/>
    <w:rsid w:val="49B52F01"/>
    <w:rsid w:val="4A8700B2"/>
    <w:rsid w:val="4AA04698"/>
    <w:rsid w:val="4AAF35D0"/>
    <w:rsid w:val="4AB25700"/>
    <w:rsid w:val="4B1E0E02"/>
    <w:rsid w:val="4B323B7F"/>
    <w:rsid w:val="4B3A3F74"/>
    <w:rsid w:val="4D240565"/>
    <w:rsid w:val="4E824A56"/>
    <w:rsid w:val="4F58397F"/>
    <w:rsid w:val="4F900CC1"/>
    <w:rsid w:val="4FAD5E5B"/>
    <w:rsid w:val="4FEF7CC5"/>
    <w:rsid w:val="5148640F"/>
    <w:rsid w:val="51977231"/>
    <w:rsid w:val="52323C25"/>
    <w:rsid w:val="5457294D"/>
    <w:rsid w:val="559A1E2A"/>
    <w:rsid w:val="55AF0335"/>
    <w:rsid w:val="56153280"/>
    <w:rsid w:val="5675427B"/>
    <w:rsid w:val="577539ED"/>
    <w:rsid w:val="578B6636"/>
    <w:rsid w:val="57CC1C5A"/>
    <w:rsid w:val="583D64CB"/>
    <w:rsid w:val="587B45FE"/>
    <w:rsid w:val="58EA092A"/>
    <w:rsid w:val="58ED0136"/>
    <w:rsid w:val="59C94B75"/>
    <w:rsid w:val="59E32941"/>
    <w:rsid w:val="5A032BF8"/>
    <w:rsid w:val="5A0723CD"/>
    <w:rsid w:val="5A23657C"/>
    <w:rsid w:val="5BB41E12"/>
    <w:rsid w:val="5BFF7701"/>
    <w:rsid w:val="5E9C1FFF"/>
    <w:rsid w:val="5FD46294"/>
    <w:rsid w:val="60111CD0"/>
    <w:rsid w:val="604A02EF"/>
    <w:rsid w:val="604D746C"/>
    <w:rsid w:val="606806A7"/>
    <w:rsid w:val="60CF3B4B"/>
    <w:rsid w:val="612238D7"/>
    <w:rsid w:val="61630355"/>
    <w:rsid w:val="61B419D8"/>
    <w:rsid w:val="62A1691C"/>
    <w:rsid w:val="639505AF"/>
    <w:rsid w:val="63CC0638"/>
    <w:rsid w:val="67A877D6"/>
    <w:rsid w:val="67B9144C"/>
    <w:rsid w:val="68050087"/>
    <w:rsid w:val="68DC5623"/>
    <w:rsid w:val="69B72E55"/>
    <w:rsid w:val="6A804193"/>
    <w:rsid w:val="6B8522CB"/>
    <w:rsid w:val="6C126C52"/>
    <w:rsid w:val="6C1372D5"/>
    <w:rsid w:val="6CB9373C"/>
    <w:rsid w:val="6D8E649D"/>
    <w:rsid w:val="6DD82D84"/>
    <w:rsid w:val="6F8B5BD8"/>
    <w:rsid w:val="6FF54F33"/>
    <w:rsid w:val="704248D3"/>
    <w:rsid w:val="7083194A"/>
    <w:rsid w:val="70D22137"/>
    <w:rsid w:val="71B56E1D"/>
    <w:rsid w:val="71C10F80"/>
    <w:rsid w:val="72627B2F"/>
    <w:rsid w:val="72EE4365"/>
    <w:rsid w:val="730271E2"/>
    <w:rsid w:val="732A6466"/>
    <w:rsid w:val="735D50E9"/>
    <w:rsid w:val="736523C6"/>
    <w:rsid w:val="740F2042"/>
    <w:rsid w:val="751871D8"/>
    <w:rsid w:val="756A5F88"/>
    <w:rsid w:val="75806E48"/>
    <w:rsid w:val="759261BB"/>
    <w:rsid w:val="762E39F3"/>
    <w:rsid w:val="76F31E6D"/>
    <w:rsid w:val="783338F4"/>
    <w:rsid w:val="785C2E9A"/>
    <w:rsid w:val="78BD5C08"/>
    <w:rsid w:val="79987516"/>
    <w:rsid w:val="79CF5227"/>
    <w:rsid w:val="7B681A16"/>
    <w:rsid w:val="7C0E2AAB"/>
    <w:rsid w:val="7C8B6E59"/>
    <w:rsid w:val="7DBC677D"/>
    <w:rsid w:val="7EA965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character" w:default="1" w:styleId="a0">
    <w:name w:val="Default Paragraph Font"/>
    <w:semiHidden/>
  </w:style>
  <w:style w:type="table" w:default="1" w:styleId="a1">
    <w:name w:val="Normal Table"/>
    <w:semiHidden/>
    <w:rPr>
      <w:rFonts w:eastAsia="Times New Roman"/>
    </w:rPr>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样式2 Char"/>
    <w:basedOn w:val="Char"/>
    <w:link w:val="20"/>
    <w:rPr>
      <w:rFonts w:ascii="楷体_GB2312" w:eastAsia="楷体_GB2312"/>
      <w:snapToGrid w:val="0"/>
      <w:sz w:val="32"/>
      <w:szCs w:val="32"/>
    </w:rPr>
  </w:style>
  <w:style w:type="character" w:customStyle="1" w:styleId="ca-11">
    <w:name w:val="ca-11"/>
    <w:rPr>
      <w:rFonts w:ascii="??" w:eastAsia="??"/>
      <w:b/>
      <w:bCs/>
      <w:i w:val="0"/>
      <w:iCs w:val="0"/>
      <w:color w:val="000000"/>
      <w:spacing w:val="-20"/>
      <w:sz w:val="44"/>
      <w:szCs w:val="44"/>
    </w:rPr>
  </w:style>
  <w:style w:type="character" w:customStyle="1" w:styleId="Char">
    <w:name w:val="纯文本 Char"/>
    <w:basedOn w:val="a0"/>
    <w:rPr>
      <w:rFonts w:ascii="宋体" w:eastAsia="宋体" w:hAnsi="Courier New" w:cs="Courier New"/>
      <w:kern w:val="2"/>
      <w:sz w:val="21"/>
      <w:szCs w:val="21"/>
      <w:lang w:val="en-US" w:eastAsia="zh-CN" w:bidi="ar-SA"/>
    </w:rPr>
  </w:style>
  <w:style w:type="character" w:styleId="a3">
    <w:name w:val="page number"/>
    <w:basedOn w:val="a0"/>
  </w:style>
  <w:style w:type="character" w:styleId="a4">
    <w:name w:val="Strong"/>
    <w:basedOn w:val="a0"/>
    <w:qFormat/>
    <w:rPr>
      <w:rFonts w:eastAsia="仿宋_GB2312"/>
      <w:sz w:val="32"/>
      <w:szCs w:val="32"/>
    </w:rPr>
  </w:style>
  <w:style w:type="character" w:customStyle="1" w:styleId="CharChar">
    <w:name w:val=" Char Char"/>
    <w:basedOn w:val="a0"/>
    <w:rPr>
      <w:rFonts w:ascii="宋体" w:eastAsia="宋体" w:hAnsi="Courier New" w:cs="Courier New"/>
      <w:kern w:val="2"/>
      <w:sz w:val="21"/>
      <w:szCs w:val="21"/>
      <w:lang w:val="en-US" w:eastAsia="zh-CN" w:bidi="ar-SA"/>
    </w:rPr>
  </w:style>
  <w:style w:type="character" w:customStyle="1" w:styleId="1Char">
    <w:name w:val="样式1 Char"/>
    <w:basedOn w:val="a0"/>
    <w:rPr>
      <w:rFonts w:ascii="黑体" w:eastAsia="黑体" w:hAnsi="Courier New" w:cs="Courier New"/>
      <w:snapToGrid w:val="0"/>
      <w:kern w:val="2"/>
      <w:sz w:val="32"/>
      <w:szCs w:val="32"/>
      <w:lang w:val="en-US" w:eastAsia="zh-CN" w:bidi="ar-SA"/>
    </w:rPr>
  </w:style>
  <w:style w:type="character" w:customStyle="1" w:styleId="CharChar2">
    <w:name w:val=" Char Char2"/>
    <w:basedOn w:val="a0"/>
    <w:rPr>
      <w:rFonts w:ascii="黑体" w:eastAsia="黑体"/>
      <w:sz w:val="32"/>
      <w:szCs w:val="24"/>
      <w:lang w:val="en-US" w:eastAsia="zh-CN" w:bidi="ar-SA"/>
    </w:rPr>
  </w:style>
  <w:style w:type="character" w:customStyle="1" w:styleId="1CharChar">
    <w:name w:val="样式1 Char Char"/>
    <w:basedOn w:val="a0"/>
    <w:link w:val="1"/>
    <w:rPr>
      <w:rFonts w:ascii="黑体" w:eastAsia="黑体" w:hAnsi="Courier New" w:cs="Courier New"/>
      <w:snapToGrid w:val="0"/>
      <w:kern w:val="2"/>
      <w:sz w:val="32"/>
      <w:szCs w:val="32"/>
      <w:lang w:val="en-US" w:eastAsia="zh-CN" w:bidi="ar-SA"/>
    </w:rPr>
  </w:style>
  <w:style w:type="character" w:customStyle="1" w:styleId="ca-01">
    <w:name w:val="ca-01"/>
    <w:rPr>
      <w:rFonts w:ascii="Times New Roman" w:cs="Times New Roman"/>
      <w:b/>
      <w:bCs/>
      <w:i w:val="0"/>
      <w:iCs w:val="0"/>
      <w:color w:val="000000"/>
      <w:spacing w:val="-20"/>
      <w:sz w:val="44"/>
      <w:szCs w:val="44"/>
    </w:rPr>
  </w:style>
  <w:style w:type="character" w:customStyle="1" w:styleId="ca-41">
    <w:name w:val="ca-41"/>
    <w:rPr>
      <w:rFonts w:ascii="??_GB2312" w:eastAsia="??_GB2312"/>
      <w:b w:val="0"/>
      <w:bCs w:val="0"/>
      <w:i w:val="0"/>
      <w:iCs w:val="0"/>
      <w:color w:val="000000"/>
      <w:sz w:val="32"/>
      <w:szCs w:val="32"/>
    </w:rPr>
  </w:style>
  <w:style w:type="character" w:customStyle="1" w:styleId="Char1">
    <w:name w:val="纯文本 Char1"/>
    <w:basedOn w:val="a0"/>
    <w:link w:val="a5"/>
    <w:rPr>
      <w:rFonts w:ascii="宋体" w:eastAsia="宋体" w:hAnsi="Courier New" w:cs="Courier New"/>
      <w:kern w:val="2"/>
      <w:sz w:val="21"/>
      <w:szCs w:val="21"/>
      <w:lang w:val="en-US" w:eastAsia="zh-CN" w:bidi="ar-SA"/>
    </w:rPr>
  </w:style>
  <w:style w:type="character" w:customStyle="1" w:styleId="Char0">
    <w:name w:val="正文文本 Char"/>
    <w:basedOn w:val="a0"/>
    <w:link w:val="a6"/>
    <w:locked/>
    <w:rPr>
      <w:rFonts w:eastAsia="华文中宋"/>
      <w:kern w:val="2"/>
      <w:sz w:val="44"/>
      <w:szCs w:val="24"/>
      <w:lang w:val="en-US" w:eastAsia="zh-CN" w:bidi="ar-SA"/>
    </w:rPr>
  </w:style>
  <w:style w:type="paragraph" w:styleId="a7">
    <w:name w:val="footer"/>
    <w:basedOn w:val="a"/>
    <w:pPr>
      <w:tabs>
        <w:tab w:val="center" w:pos="4153"/>
        <w:tab w:val="right" w:pos="8306"/>
      </w:tabs>
      <w:snapToGrid w:val="0"/>
      <w:jc w:val="left"/>
    </w:pPr>
    <w:rPr>
      <w:sz w:val="18"/>
      <w:szCs w:val="18"/>
    </w:rPr>
  </w:style>
  <w:style w:type="paragraph" w:styleId="a8">
    <w:name w:val="Date"/>
    <w:basedOn w:val="a"/>
    <w:next w:val="a"/>
    <w:pPr>
      <w:ind w:leftChars="2500" w:left="100"/>
    </w:pPr>
    <w:rPr>
      <w:rFonts w:ascii="仿宋_GB2312" w:eastAsia="仿宋_GB2312"/>
      <w:sz w:val="32"/>
    </w:rPr>
  </w:style>
  <w:style w:type="paragraph" w:customStyle="1" w:styleId="4">
    <w:name w:val="样式4"/>
    <w:basedOn w:val="a5"/>
    <w:pPr>
      <w:adjustRightInd w:val="0"/>
      <w:snapToGrid w:val="0"/>
      <w:spacing w:line="610" w:lineRule="exact"/>
      <w:jc w:val="center"/>
    </w:pPr>
    <w:rPr>
      <w:rFonts w:ascii="方正小标宋简体" w:eastAsia="方正小标宋简体" w:hAnsi="Times New Roman" w:cs="Times New Roman"/>
      <w:snapToGrid w:val="0"/>
      <w:kern w:val="0"/>
      <w:sz w:val="44"/>
      <w:szCs w:val="44"/>
    </w:rPr>
  </w:style>
  <w:style w:type="paragraph" w:styleId="a5">
    <w:name w:val="Plain Text"/>
    <w:basedOn w:val="a"/>
    <w:link w:val="Char1"/>
    <w:rPr>
      <w:rFonts w:ascii="宋体" w:hAnsi="Courier New" w:cs="Courier New"/>
      <w:szCs w:val="21"/>
    </w:rPr>
  </w:style>
  <w:style w:type="paragraph" w:styleId="a6">
    <w:name w:val="Body Text"/>
    <w:basedOn w:val="a"/>
    <w:link w:val="Char0"/>
    <w:pPr>
      <w:spacing w:line="100" w:lineRule="atLeast"/>
      <w:jc w:val="center"/>
    </w:pPr>
    <w:rPr>
      <w:rFonts w:eastAsia="华文中宋"/>
      <w:sz w:val="44"/>
    </w:rPr>
  </w:style>
  <w:style w:type="paragraph" w:styleId="a9">
    <w:name w:val="Body Text Indent"/>
    <w:basedOn w:val="a"/>
    <w:pPr>
      <w:ind w:firstLineChars="200" w:firstLine="640"/>
    </w:pPr>
    <w:rPr>
      <w:rFonts w:eastAsia="仿宋_GB2312"/>
      <w:color w:val="000000"/>
      <w:sz w:val="32"/>
      <w:szCs w:val="32"/>
      <w:lang w:val="zh-CN"/>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ab">
    <w:name w:val="List"/>
    <w:basedOn w:val="a"/>
    <w:pPr>
      <w:ind w:left="200" w:hangingChars="200" w:hanging="200"/>
    </w:pPr>
  </w:style>
  <w:style w:type="paragraph" w:styleId="21">
    <w:name w:val="Body Text 2"/>
    <w:basedOn w:val="a"/>
    <w:pPr>
      <w:spacing w:after="120" w:line="480" w:lineRule="auto"/>
    </w:pPr>
  </w:style>
  <w:style w:type="paragraph" w:customStyle="1" w:styleId="CharCharCharCharCharCharCharCharCharChar">
    <w:name w:val="Char Char Char Char Char Char Char Char Char Char"/>
    <w:basedOn w:val="a"/>
    <w:semiHidden/>
  </w:style>
  <w:style w:type="paragraph" w:customStyle="1" w:styleId="CharCharChar">
    <w:name w:val="Char Char Char"/>
    <w:basedOn w:val="a"/>
    <w:rPr>
      <w:rFonts w:eastAsia="仿宋_GB2312"/>
      <w:sz w:val="32"/>
      <w:szCs w:val="20"/>
    </w:rPr>
  </w:style>
  <w:style w:type="paragraph" w:customStyle="1" w:styleId="p0">
    <w:name w:val="p0"/>
    <w:basedOn w:val="a"/>
    <w:pPr>
      <w:widowControl/>
      <w:spacing w:line="365" w:lineRule="atLeast"/>
      <w:ind w:left="1"/>
      <w:textAlignment w:val="bottom"/>
    </w:pPr>
    <w:rPr>
      <w:kern w:val="0"/>
      <w:sz w:val="20"/>
      <w:szCs w:val="20"/>
    </w:rPr>
  </w:style>
  <w:style w:type="paragraph" w:customStyle="1" w:styleId="New">
    <w:name w:val="正文 New"/>
    <w:pPr>
      <w:widowControl w:val="0"/>
      <w:jc w:val="both"/>
    </w:pPr>
    <w:rPr>
      <w:kern w:val="2"/>
      <w:sz w:val="21"/>
      <w:szCs w:val="22"/>
    </w:rPr>
  </w:style>
  <w:style w:type="paragraph" w:customStyle="1" w:styleId="Char2">
    <w:name w:val="Char"/>
    <w:basedOn w:val="a"/>
    <w:semiHidden/>
  </w:style>
  <w:style w:type="paragraph" w:customStyle="1" w:styleId="NewNewNewNewNewNewNew">
    <w:name w:val="正文 New New New New New New New"/>
    <w:pPr>
      <w:widowControl w:val="0"/>
      <w:jc w:val="both"/>
    </w:pPr>
    <w:rPr>
      <w:kern w:val="2"/>
      <w:sz w:val="21"/>
      <w:szCs w:val="24"/>
    </w:rPr>
  </w:style>
  <w:style w:type="paragraph" w:customStyle="1" w:styleId="New0">
    <w:name w:val="纯文本 New"/>
    <w:basedOn w:val="a"/>
    <w:rPr>
      <w:rFonts w:ascii="宋体" w:hAnsi="Courier New" w:hint="eastAsia"/>
      <w:szCs w:val="20"/>
    </w:rPr>
  </w:style>
  <w:style w:type="paragraph" w:customStyle="1" w:styleId="NewNewNewNewNewNewNewNewNew">
    <w:name w:val="正文 New New New New New New New New New"/>
    <w:pPr>
      <w:widowControl w:val="0"/>
      <w:jc w:val="both"/>
    </w:pPr>
    <w:rPr>
      <w:kern w:val="2"/>
      <w:sz w:val="21"/>
      <w:szCs w:val="24"/>
    </w:rPr>
  </w:style>
  <w:style w:type="paragraph" w:customStyle="1" w:styleId="1">
    <w:name w:val="样式1"/>
    <w:basedOn w:val="a5"/>
    <w:link w:val="1CharChar"/>
    <w:pPr>
      <w:adjustRightInd w:val="0"/>
      <w:snapToGrid w:val="0"/>
      <w:spacing w:line="610" w:lineRule="exact"/>
      <w:ind w:firstLineChars="200" w:firstLine="640"/>
    </w:pPr>
    <w:rPr>
      <w:rFonts w:ascii="黑体" w:eastAsia="黑体"/>
      <w:snapToGrid w:val="0"/>
      <w:sz w:val="32"/>
      <w:szCs w:val="32"/>
    </w:rPr>
  </w:style>
  <w:style w:type="paragraph" w:styleId="ac">
    <w:name w:val="List Paragraph"/>
    <w:basedOn w:val="a"/>
    <w:qFormat/>
    <w:pPr>
      <w:ind w:firstLineChars="200" w:firstLine="420"/>
    </w:pPr>
  </w:style>
  <w:style w:type="paragraph" w:customStyle="1" w:styleId="Char3">
    <w:name w:val=" Char"/>
    <w:basedOn w:val="a"/>
    <w:semiHidden/>
  </w:style>
  <w:style w:type="paragraph" w:customStyle="1" w:styleId="CharCharCharChar">
    <w:name w:val=" Char Char Char Char"/>
    <w:basedOn w:val="a"/>
    <w:semiHidden/>
  </w:style>
  <w:style w:type="paragraph" w:customStyle="1" w:styleId="CharCharCharCharCharCharChar">
    <w:name w:val="Char Char Char Char Char Char Char"/>
    <w:basedOn w:val="a"/>
    <w:semiHidden/>
  </w:style>
  <w:style w:type="paragraph" w:customStyle="1" w:styleId="5">
    <w:name w:val="样式5"/>
    <w:basedOn w:val="1"/>
    <w:pPr>
      <w:ind w:firstLineChars="0" w:firstLine="0"/>
      <w:jc w:val="center"/>
    </w:pPr>
  </w:style>
  <w:style w:type="paragraph" w:customStyle="1" w:styleId="p16">
    <w:name w:val="p16"/>
    <w:basedOn w:val="a"/>
    <w:pPr>
      <w:widowControl/>
    </w:pPr>
    <w:rPr>
      <w:kern w:val="0"/>
      <w:szCs w:val="21"/>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szCs w:val="24"/>
    </w:rPr>
  </w:style>
  <w:style w:type="paragraph" w:customStyle="1" w:styleId="20">
    <w:name w:val="样式2"/>
    <w:basedOn w:val="a5"/>
    <w:link w:val="2Char"/>
    <w:pPr>
      <w:adjustRightInd w:val="0"/>
      <w:snapToGrid w:val="0"/>
      <w:spacing w:line="610" w:lineRule="exact"/>
      <w:ind w:firstLineChars="200" w:firstLine="640"/>
    </w:pPr>
    <w:rPr>
      <w:rFonts w:ascii="楷体_GB2312" w:eastAsia="楷体_GB2312" w:hAnsi="Times New Roman" w:cs="Times New Roman"/>
      <w:snapToGrid w:val="0"/>
      <w:kern w:val="0"/>
      <w:sz w:val="32"/>
      <w:szCs w:val="32"/>
    </w:rPr>
  </w:style>
  <w:style w:type="table" w:styleId="ad">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728</Words>
  <Characters>4156</Characters>
  <Application>Microsoft Office Word</Application>
  <DocSecurity>0</DocSecurity>
  <PresentationFormat/>
  <Lines>34</Lines>
  <Paragraphs>9</Paragraphs>
  <Slides>0</Slides>
  <Notes>0</Notes>
  <HiddenSlides>0</HiddenSlides>
  <MMClips>0</MMClips>
  <ScaleCrop>false</ScaleCrop>
  <Company>微软中国</Company>
  <LinksUpToDate>false</LinksUpToDate>
  <CharactersWithSpaces>4875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creator>微软用户</dc:creator>
  <cp:lastModifiedBy>apple1202</cp:lastModifiedBy>
  <cp:revision>2</cp:revision>
  <cp:lastPrinted>2016-10-25T07:22:00Z</cp:lastPrinted>
  <dcterms:created xsi:type="dcterms:W3CDTF">2017-10-10T06:08:00Z</dcterms:created>
  <dcterms:modified xsi:type="dcterms:W3CDTF">2017-10-10T06:08:00Z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