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6A1" w:rsidRDefault="005366A1" w:rsidP="005366A1">
      <w:pPr>
        <w:pStyle w:val="PlainText"/>
        <w:topLinePunct/>
        <w:adjustRightInd w:val="0"/>
        <w:snapToGrid w:val="0"/>
        <w:spacing w:line="592" w:lineRule="exact"/>
        <w:ind w:firstLineChars="200" w:firstLine="31680"/>
        <w:rPr>
          <w:rFonts w:eastAsia="仿宋_GB2312"/>
          <w:snapToGrid w:val="0"/>
          <w:color w:val="000000"/>
          <w:sz w:val="32"/>
          <w:szCs w:val="32"/>
        </w:rPr>
      </w:pPr>
    </w:p>
    <w:p w:rsidR="005366A1" w:rsidRDefault="005366A1">
      <w:pPr>
        <w:topLinePunct/>
        <w:adjustRightInd w:val="0"/>
        <w:snapToGrid w:val="0"/>
        <w:spacing w:line="592" w:lineRule="exact"/>
        <w:rPr>
          <w:rFonts w:ascii="仿宋_GB2312" w:eastAsia="仿宋_GB2312"/>
          <w:snapToGrid w:val="0"/>
          <w:color w:val="000000"/>
          <w:sz w:val="32"/>
          <w:szCs w:val="32"/>
        </w:rPr>
      </w:pPr>
    </w:p>
    <w:p w:rsidR="005366A1" w:rsidRDefault="005366A1">
      <w:pPr>
        <w:adjustRightInd w:val="0"/>
        <w:snapToGrid w:val="0"/>
        <w:spacing w:line="592" w:lineRule="exact"/>
        <w:jc w:val="center"/>
        <w:rPr>
          <w:rFonts w:hAnsi="宋体"/>
          <w:snapToGrid w:val="0"/>
          <w:color w:val="000000"/>
          <w:sz w:val="44"/>
          <w:szCs w:val="44"/>
        </w:rPr>
      </w:pPr>
      <w:r>
        <w:rPr>
          <w:rFonts w:hAnsi="宋体" w:hint="eastAsia"/>
          <w:snapToGrid w:val="0"/>
          <w:color w:val="000000"/>
          <w:sz w:val="44"/>
          <w:szCs w:val="44"/>
        </w:rPr>
        <w:t>昆明市城镇绿化条例</w:t>
      </w:r>
    </w:p>
    <w:p w:rsidR="005366A1" w:rsidRDefault="005366A1" w:rsidP="008833B0">
      <w:pPr>
        <w:adjustRightInd w:val="0"/>
        <w:snapToGrid w:val="0"/>
        <w:spacing w:line="592" w:lineRule="exact"/>
        <w:ind w:leftChars="400" w:left="31680" w:rightChars="400" w:right="31680"/>
        <w:rPr>
          <w:rFonts w:eastAsia="楷体_GB2312"/>
          <w:snapToGrid w:val="0"/>
          <w:color w:val="000000"/>
          <w:sz w:val="32"/>
          <w:szCs w:val="28"/>
        </w:rPr>
      </w:pPr>
    </w:p>
    <w:p w:rsidR="005366A1" w:rsidRDefault="005366A1" w:rsidP="008833B0">
      <w:pPr>
        <w:topLinePunct/>
        <w:adjustRightInd w:val="0"/>
        <w:snapToGrid w:val="0"/>
        <w:spacing w:line="592" w:lineRule="exact"/>
        <w:ind w:leftChars="200" w:left="31680" w:rightChars="200" w:right="31680"/>
        <w:rPr>
          <w:rFonts w:eastAsia="楷体_GB2312"/>
          <w:snapToGrid w:val="0"/>
          <w:color w:val="000000"/>
          <w:sz w:val="32"/>
          <w:szCs w:val="28"/>
        </w:rPr>
      </w:pPr>
      <w:r>
        <w:rPr>
          <w:rFonts w:eastAsia="楷体_GB2312" w:hint="eastAsia"/>
          <w:snapToGrid w:val="0"/>
          <w:color w:val="000000"/>
          <w:sz w:val="32"/>
          <w:szCs w:val="28"/>
        </w:rPr>
        <w:t>（</w:t>
      </w:r>
      <w:r>
        <w:rPr>
          <w:rFonts w:eastAsia="楷体_GB2312"/>
          <w:snapToGrid w:val="0"/>
          <w:color w:val="000000"/>
          <w:sz w:val="32"/>
          <w:szCs w:val="28"/>
        </w:rPr>
        <w:t>2018</w:t>
      </w:r>
      <w:r>
        <w:rPr>
          <w:rFonts w:eastAsia="楷体_GB2312" w:hint="eastAsia"/>
          <w:snapToGrid w:val="0"/>
          <w:color w:val="000000"/>
          <w:sz w:val="32"/>
          <w:szCs w:val="28"/>
        </w:rPr>
        <w:t>年</w:t>
      </w:r>
      <w:r>
        <w:rPr>
          <w:rFonts w:eastAsia="楷体_GB2312"/>
          <w:snapToGrid w:val="0"/>
          <w:color w:val="000000"/>
          <w:sz w:val="32"/>
          <w:szCs w:val="28"/>
        </w:rPr>
        <w:t>12</w:t>
      </w:r>
      <w:r>
        <w:rPr>
          <w:rFonts w:eastAsia="楷体_GB2312" w:hint="eastAsia"/>
          <w:snapToGrid w:val="0"/>
          <w:color w:val="000000"/>
          <w:sz w:val="32"/>
          <w:szCs w:val="28"/>
        </w:rPr>
        <w:t>月</w:t>
      </w:r>
      <w:r>
        <w:rPr>
          <w:rFonts w:eastAsia="楷体_GB2312"/>
          <w:snapToGrid w:val="0"/>
          <w:color w:val="000000"/>
          <w:sz w:val="32"/>
          <w:szCs w:val="28"/>
        </w:rPr>
        <w:t>28</w:t>
      </w:r>
      <w:r>
        <w:rPr>
          <w:rFonts w:eastAsia="楷体_GB2312" w:hint="eastAsia"/>
          <w:snapToGrid w:val="0"/>
          <w:color w:val="000000"/>
          <w:sz w:val="32"/>
          <w:szCs w:val="28"/>
        </w:rPr>
        <w:t>日昆明市第十四届人民代表大会常务委员会第十三次会议通过</w:t>
      </w:r>
      <w:r>
        <w:rPr>
          <w:rFonts w:eastAsia="楷体_GB2312"/>
          <w:snapToGrid w:val="0"/>
          <w:color w:val="000000"/>
          <w:sz w:val="32"/>
          <w:szCs w:val="28"/>
        </w:rPr>
        <w:t xml:space="preserve">  2019</w:t>
      </w:r>
      <w:r>
        <w:rPr>
          <w:rFonts w:eastAsia="楷体_GB2312" w:hint="eastAsia"/>
          <w:snapToGrid w:val="0"/>
          <w:color w:val="000000"/>
          <w:sz w:val="32"/>
          <w:szCs w:val="28"/>
        </w:rPr>
        <w:t>年</w:t>
      </w:r>
      <w:r>
        <w:rPr>
          <w:rFonts w:eastAsia="楷体_GB2312"/>
          <w:snapToGrid w:val="0"/>
          <w:color w:val="000000"/>
          <w:sz w:val="32"/>
          <w:szCs w:val="28"/>
        </w:rPr>
        <w:t>5</w:t>
      </w:r>
      <w:r>
        <w:rPr>
          <w:rFonts w:eastAsia="楷体_GB2312" w:hint="eastAsia"/>
          <w:snapToGrid w:val="0"/>
          <w:color w:val="000000"/>
          <w:sz w:val="32"/>
          <w:szCs w:val="28"/>
        </w:rPr>
        <w:t>月</w:t>
      </w:r>
      <w:r>
        <w:rPr>
          <w:rFonts w:eastAsia="楷体_GB2312"/>
          <w:snapToGrid w:val="0"/>
          <w:color w:val="000000"/>
          <w:sz w:val="32"/>
          <w:szCs w:val="28"/>
        </w:rPr>
        <w:t>16</w:t>
      </w:r>
      <w:r>
        <w:rPr>
          <w:rFonts w:eastAsia="楷体_GB2312" w:hint="eastAsia"/>
          <w:snapToGrid w:val="0"/>
          <w:color w:val="000000"/>
          <w:sz w:val="32"/>
          <w:szCs w:val="28"/>
        </w:rPr>
        <w:t>日云南省第十三届人民代表大会常务委员会第十次会议批准）</w:t>
      </w:r>
    </w:p>
    <w:p w:rsidR="005366A1" w:rsidRDefault="005366A1">
      <w:pPr>
        <w:shd w:val="clear" w:color="auto" w:fill="FFFFFF"/>
        <w:topLinePunct/>
        <w:adjustRightInd w:val="0"/>
        <w:snapToGrid w:val="0"/>
        <w:spacing w:line="592" w:lineRule="exact"/>
        <w:rPr>
          <w:rFonts w:ascii="仿宋_GB2312" w:eastAsia="仿宋_GB2312" w:hAnsi="黑体"/>
          <w:snapToGrid w:val="0"/>
          <w:color w:val="000000"/>
          <w:sz w:val="32"/>
          <w:szCs w:val="32"/>
        </w:rPr>
      </w:pPr>
    </w:p>
    <w:p w:rsidR="005366A1" w:rsidRDefault="005366A1">
      <w:pPr>
        <w:topLinePunct/>
        <w:adjustRightInd w:val="0"/>
        <w:snapToGrid w:val="0"/>
        <w:spacing w:line="592" w:lineRule="exact"/>
        <w:jc w:val="center"/>
        <w:rPr>
          <w:rFonts w:ascii="楷体_GB2312" w:eastAsia="楷体_GB2312"/>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录</w:t>
      </w:r>
    </w:p>
    <w:p w:rsidR="005366A1" w:rsidRDefault="005366A1">
      <w:pPr>
        <w:topLinePunct/>
        <w:adjustRightInd w:val="0"/>
        <w:snapToGrid w:val="0"/>
        <w:spacing w:line="592" w:lineRule="exact"/>
        <w:jc w:val="center"/>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划</w:t>
      </w: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建</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设</w:t>
      </w: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管</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理</w:t>
      </w: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5366A1" w:rsidRDefault="005366A1" w:rsidP="008833B0">
      <w:pPr>
        <w:topLinePunct/>
        <w:adjustRightInd w:val="0"/>
        <w:snapToGrid w:val="0"/>
        <w:spacing w:line="592" w:lineRule="exact"/>
        <w:ind w:firstLineChars="200" w:firstLine="3168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5366A1" w:rsidRDefault="005366A1">
      <w:pPr>
        <w:adjustRightInd w:val="0"/>
        <w:snapToGrid w:val="0"/>
        <w:spacing w:line="592" w:lineRule="exact"/>
        <w:rPr>
          <w:rFonts w:eastAsia="仿宋_GB2312"/>
          <w:snapToGrid w:val="0"/>
          <w:color w:val="000000"/>
          <w:sz w:val="32"/>
          <w:szCs w:val="32"/>
        </w:rPr>
      </w:pPr>
    </w:p>
    <w:p w:rsidR="005366A1" w:rsidRDefault="005366A1">
      <w:pPr>
        <w:adjustRightInd w:val="0"/>
        <w:snapToGrid w:val="0"/>
        <w:spacing w:line="592" w:lineRule="exact"/>
        <w:jc w:val="center"/>
        <w:rPr>
          <w:rFonts w:eastAsia="仿宋_GB2312"/>
          <w:snapToGrid w:val="0"/>
          <w:color w:val="000000"/>
          <w:sz w:val="32"/>
          <w:szCs w:val="32"/>
        </w:rPr>
      </w:pPr>
      <w:r>
        <w:rPr>
          <w:rFonts w:ascii="黑体" w:eastAsia="黑体" w:hAnsi="黑体" w:hint="eastAsia"/>
          <w:snapToGrid w:val="0"/>
          <w:color w:val="000000"/>
          <w:sz w:val="32"/>
          <w:szCs w:val="32"/>
        </w:rPr>
        <w:t>第一章</w:t>
      </w:r>
      <w:r>
        <w:rPr>
          <w:rFonts w:eastAsia="仿宋_GB2312"/>
          <w:snapToGrid w:val="0"/>
          <w:color w:val="000000"/>
          <w:sz w:val="32"/>
          <w:szCs w:val="32"/>
        </w:rPr>
        <w:t xml:space="preserve">  </w:t>
      </w:r>
      <w:r>
        <w:rPr>
          <w:rFonts w:ascii="黑体" w:eastAsia="黑体" w:hAnsi="黑体" w:hint="eastAsia"/>
          <w:snapToGrid w:val="0"/>
          <w:color w:val="000000"/>
          <w:sz w:val="32"/>
          <w:szCs w:val="32"/>
        </w:rPr>
        <w:t>总</w:t>
      </w:r>
      <w:r>
        <w:rPr>
          <w:rFonts w:eastAsia="仿宋_GB2312"/>
          <w:snapToGrid w:val="0"/>
          <w:color w:val="000000"/>
          <w:sz w:val="32"/>
          <w:szCs w:val="32"/>
        </w:rPr>
        <w:t xml:space="preserve">  </w:t>
      </w:r>
      <w:r>
        <w:rPr>
          <w:rFonts w:ascii="黑体" w:eastAsia="黑体" w:hAnsi="黑体" w:hint="eastAsia"/>
          <w:snapToGrid w:val="0"/>
          <w:color w:val="000000"/>
          <w:sz w:val="32"/>
          <w:szCs w:val="32"/>
        </w:rPr>
        <w:t>则</w:t>
      </w:r>
    </w:p>
    <w:p w:rsidR="005366A1" w:rsidRDefault="005366A1" w:rsidP="008833B0">
      <w:pPr>
        <w:adjustRightInd w:val="0"/>
        <w:snapToGrid w:val="0"/>
        <w:spacing w:line="592" w:lineRule="exact"/>
        <w:ind w:firstLineChars="200" w:firstLine="31680"/>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第一条</w:t>
      </w:r>
      <w:r>
        <w:rPr>
          <w:rFonts w:eastAsia="仿宋_GB2312"/>
          <w:snapToGrid w:val="0"/>
          <w:color w:val="000000"/>
          <w:sz w:val="32"/>
          <w:szCs w:val="32"/>
        </w:rPr>
        <w:t xml:space="preserve">  </w:t>
      </w:r>
      <w:r>
        <w:rPr>
          <w:rFonts w:eastAsia="仿宋_GB2312" w:hint="eastAsia"/>
          <w:snapToGrid w:val="0"/>
          <w:color w:val="000000"/>
          <w:sz w:val="32"/>
          <w:szCs w:val="32"/>
        </w:rPr>
        <w:t>为了加强城镇绿化管理，保护和改善生态环境，美化生活环境，增进人民身心健康，打造世界春城花都，建设和谐美丽昆明，根据《中华人民共和国城乡规划法》、国务院《城市绿化条例》等有关法律、法规，结合本市实际，制定本条例。</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第二条</w:t>
      </w:r>
      <w:r>
        <w:rPr>
          <w:rFonts w:eastAsia="仿宋_GB2312"/>
          <w:snapToGrid w:val="0"/>
          <w:color w:val="000000"/>
          <w:sz w:val="32"/>
          <w:szCs w:val="32"/>
        </w:rPr>
        <w:t xml:space="preserve">  </w:t>
      </w:r>
      <w:r>
        <w:rPr>
          <w:rFonts w:eastAsia="仿宋_GB2312" w:hint="eastAsia"/>
          <w:snapToGrid w:val="0"/>
          <w:color w:val="000000"/>
          <w:sz w:val="32"/>
          <w:szCs w:val="32"/>
        </w:rPr>
        <w:t>本条例适用于本市城市、镇规划区范围内的绿化规划、建设、保护和管理。</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第三条</w:t>
      </w:r>
      <w:r>
        <w:rPr>
          <w:rFonts w:eastAsia="仿宋_GB2312"/>
          <w:snapToGrid w:val="0"/>
          <w:color w:val="000000"/>
          <w:sz w:val="32"/>
          <w:szCs w:val="32"/>
        </w:rPr>
        <w:t xml:space="preserve">  </w:t>
      </w:r>
      <w:r>
        <w:rPr>
          <w:rFonts w:eastAsia="仿宋_GB2312" w:hint="eastAsia"/>
          <w:snapToGrid w:val="0"/>
          <w:color w:val="000000"/>
          <w:sz w:val="32"/>
          <w:szCs w:val="32"/>
        </w:rPr>
        <w:t>城镇绿化应当坚持以人为本、生态优先、科学规划、严格保护、共建共享、节约资源的原则。</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第四条</w:t>
      </w:r>
      <w:r>
        <w:rPr>
          <w:rFonts w:eastAsia="仿宋_GB2312"/>
          <w:snapToGrid w:val="0"/>
          <w:color w:val="000000"/>
          <w:sz w:val="32"/>
          <w:szCs w:val="32"/>
        </w:rPr>
        <w:t xml:space="preserve">  </w:t>
      </w:r>
      <w:r>
        <w:rPr>
          <w:rFonts w:eastAsia="仿宋_GB2312" w:hint="eastAsia"/>
          <w:snapToGrid w:val="0"/>
          <w:color w:val="000000"/>
          <w:sz w:val="32"/>
          <w:szCs w:val="32"/>
        </w:rPr>
        <w:t>市、县（市、区）人民政府应当把城镇绿化纳入国民经济和社会发展规划，保障城镇绿化发展所需资金及用地。</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第五条</w:t>
      </w:r>
      <w:r>
        <w:rPr>
          <w:rFonts w:eastAsia="仿宋_GB2312"/>
          <w:snapToGrid w:val="0"/>
          <w:color w:val="000000"/>
          <w:sz w:val="32"/>
          <w:szCs w:val="32"/>
        </w:rPr>
        <w:t xml:space="preserve">  </w:t>
      </w:r>
      <w:r>
        <w:rPr>
          <w:rFonts w:eastAsia="仿宋_GB2312" w:hint="eastAsia"/>
          <w:snapToGrid w:val="0"/>
          <w:color w:val="000000"/>
          <w:sz w:val="32"/>
          <w:szCs w:val="32"/>
        </w:rPr>
        <w:t>市绿化行政管理部门负责本市行政区域内城镇绿化管理工作，对各县（市、区）的绿化管理工作进行指导、督促、检查和协调。</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交通运输、滇池管理、林草、水务、铁路、民航等单位和部门分别负责责任范围内的绿化及其管理维护。</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自然资源规划、住房城乡建设等行政管理部门按照各自的职责，做好城镇绿化工作。</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县（市、区）绿化行政管理部门负责本辖区的城镇绿化工作，指导、督促和检查街道、镇的绿化工作。</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镇人民政府、街道办事处负责组织、督促和检查辖区内单位、居住区责任范围内的绿化工作。</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第六条</w:t>
      </w:r>
      <w:r>
        <w:rPr>
          <w:rFonts w:eastAsia="仿宋_GB2312"/>
          <w:snapToGrid w:val="0"/>
          <w:color w:val="000000"/>
          <w:sz w:val="32"/>
          <w:szCs w:val="32"/>
        </w:rPr>
        <w:t xml:space="preserve">  </w:t>
      </w:r>
      <w:r>
        <w:rPr>
          <w:rFonts w:eastAsia="仿宋_GB2312" w:hint="eastAsia"/>
          <w:snapToGrid w:val="0"/>
          <w:color w:val="000000"/>
          <w:sz w:val="32"/>
          <w:szCs w:val="32"/>
        </w:rPr>
        <w:t>城镇中的单位和有劳动能力的公民，应当依照国家有关规定履行植树或者其他绿化义务。</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任何单位和个人有权对损毁树木、破坏绿地及绿化设施的行为进行制止和举报。</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第七条</w:t>
      </w:r>
      <w:r>
        <w:rPr>
          <w:rFonts w:eastAsia="仿宋_GB2312"/>
          <w:snapToGrid w:val="0"/>
          <w:color w:val="000000"/>
          <w:sz w:val="32"/>
          <w:szCs w:val="32"/>
        </w:rPr>
        <w:t xml:space="preserve">  </w:t>
      </w:r>
      <w:r>
        <w:rPr>
          <w:rFonts w:eastAsia="仿宋_GB2312" w:hint="eastAsia"/>
          <w:snapToGrid w:val="0"/>
          <w:color w:val="000000"/>
          <w:sz w:val="32"/>
          <w:szCs w:val="32"/>
        </w:rPr>
        <w:t>市、县（市、区）人民政府鼓励和支持城镇绿化的科学研究，推广应用先进技术、材料，提高城镇绿化水平。</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鼓励单位和个人投资新建绿地及其设施，鼓励认捐、认养绿地和树木。认捐、认养的单位和个人，可以享有绿地、树木一定期限的冠名权。</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第八条</w:t>
      </w:r>
      <w:r>
        <w:rPr>
          <w:rFonts w:eastAsia="仿宋_GB2312"/>
          <w:snapToGrid w:val="0"/>
          <w:color w:val="000000"/>
          <w:sz w:val="32"/>
          <w:szCs w:val="32"/>
        </w:rPr>
        <w:t xml:space="preserve">  </w:t>
      </w:r>
      <w:r>
        <w:rPr>
          <w:rFonts w:eastAsia="仿宋_GB2312" w:hint="eastAsia"/>
          <w:snapToGrid w:val="0"/>
          <w:color w:val="000000"/>
          <w:sz w:val="32"/>
          <w:szCs w:val="32"/>
        </w:rPr>
        <w:t>每年的一月和六月为植树月。</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p>
    <w:p w:rsidR="005366A1" w:rsidRDefault="005366A1">
      <w:pPr>
        <w:topLinePunct/>
        <w:adjustRightInd w:val="0"/>
        <w:snapToGrid w:val="0"/>
        <w:spacing w:line="592" w:lineRule="exact"/>
        <w:jc w:val="center"/>
        <w:rPr>
          <w:rFonts w:ascii="黑体" w:eastAsia="黑体" w:hAnsi="黑体"/>
          <w:snapToGrid w:val="0"/>
          <w:color w:val="000000"/>
          <w:sz w:val="32"/>
          <w:szCs w:val="32"/>
        </w:rPr>
      </w:pPr>
      <w:r>
        <w:rPr>
          <w:rFonts w:ascii="黑体" w:eastAsia="黑体" w:hAnsi="黑体" w:hint="eastAsia"/>
          <w:snapToGrid w:val="0"/>
          <w:color w:val="000000"/>
          <w:sz w:val="32"/>
          <w:szCs w:val="32"/>
        </w:rPr>
        <w:t>第二章</w:t>
      </w:r>
      <w:r>
        <w:rPr>
          <w:rFonts w:eastAsia="仿宋_GB2312"/>
          <w:snapToGrid w:val="0"/>
          <w:color w:val="000000"/>
          <w:sz w:val="32"/>
          <w:szCs w:val="32"/>
        </w:rPr>
        <w:t xml:space="preserve">  </w:t>
      </w:r>
      <w:r>
        <w:rPr>
          <w:rFonts w:ascii="黑体" w:eastAsia="黑体" w:hAnsi="黑体" w:hint="eastAsia"/>
          <w:snapToGrid w:val="0"/>
          <w:color w:val="000000"/>
          <w:sz w:val="32"/>
          <w:szCs w:val="32"/>
        </w:rPr>
        <w:t>规</w:t>
      </w:r>
      <w:r>
        <w:rPr>
          <w:rFonts w:eastAsia="仿宋_GB2312"/>
          <w:snapToGrid w:val="0"/>
          <w:color w:val="000000"/>
          <w:sz w:val="32"/>
          <w:szCs w:val="32"/>
        </w:rPr>
        <w:t xml:space="preserve">  </w:t>
      </w:r>
      <w:r>
        <w:rPr>
          <w:rFonts w:ascii="黑体" w:eastAsia="黑体" w:hAnsi="黑体" w:hint="eastAsia"/>
          <w:snapToGrid w:val="0"/>
          <w:color w:val="000000"/>
          <w:sz w:val="32"/>
          <w:szCs w:val="32"/>
        </w:rPr>
        <w:t>划</w:t>
      </w:r>
    </w:p>
    <w:p w:rsidR="005366A1" w:rsidRDefault="005366A1">
      <w:pPr>
        <w:topLinePunct/>
        <w:adjustRightInd w:val="0"/>
        <w:snapToGrid w:val="0"/>
        <w:spacing w:line="592" w:lineRule="exact"/>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第九条</w:t>
      </w:r>
      <w:r>
        <w:rPr>
          <w:rFonts w:eastAsia="仿宋_GB2312"/>
          <w:snapToGrid w:val="0"/>
          <w:color w:val="000000"/>
          <w:sz w:val="32"/>
          <w:szCs w:val="32"/>
        </w:rPr>
        <w:t xml:space="preserve">  </w:t>
      </w:r>
      <w:r>
        <w:rPr>
          <w:rFonts w:eastAsia="仿宋_GB2312" w:hint="eastAsia"/>
          <w:snapToGrid w:val="0"/>
          <w:color w:val="000000"/>
          <w:sz w:val="32"/>
          <w:szCs w:val="32"/>
        </w:rPr>
        <w:t>绿地系统规划应当包括各类绿地的功能形态、绿地指标、绿地布局面积和控制原则等内容。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第十条</w:t>
      </w:r>
      <w:r>
        <w:rPr>
          <w:rFonts w:eastAsia="仿宋_GB2312"/>
          <w:snapToGrid w:val="0"/>
          <w:color w:val="000000"/>
          <w:sz w:val="32"/>
          <w:szCs w:val="32"/>
        </w:rPr>
        <w:t xml:space="preserve">  </w:t>
      </w:r>
      <w:r>
        <w:rPr>
          <w:rFonts w:eastAsia="仿宋_GB2312" w:hint="eastAsia"/>
          <w:snapToGrid w:val="0"/>
          <w:color w:val="000000"/>
          <w:sz w:val="32"/>
          <w:szCs w:val="32"/>
        </w:rPr>
        <w:t>市绿地系统规划由市绿化行政管理部门会同市自然资源规划行政管理部门编制，纳入城市总体规划，报市人民政府批准实施并向社会公布。</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县（市、区）及建制镇绿地系统规划由县（市、区）绿化行政管理部门组织编制，并应当符合市绿地系统规划，与所在地控制性详细规划相衔接，经同级人民政府批准后，报市绿化行政管理部门备案。</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绿地系统规划确需调整的，应当按照原批准程序审批。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第十一条</w:t>
      </w:r>
      <w:r>
        <w:rPr>
          <w:rFonts w:eastAsia="仿宋_GB2312"/>
          <w:snapToGrid w:val="0"/>
          <w:color w:val="000000"/>
          <w:sz w:val="32"/>
          <w:szCs w:val="32"/>
        </w:rPr>
        <w:t xml:space="preserve">  </w:t>
      </w:r>
      <w:r>
        <w:rPr>
          <w:rFonts w:eastAsia="仿宋_GB2312" w:hint="eastAsia"/>
          <w:snapToGrid w:val="0"/>
          <w:color w:val="000000"/>
          <w:sz w:val="32"/>
          <w:szCs w:val="32"/>
        </w:rPr>
        <w:t>绿地系统规划编制过程中，应当将规划方案予以公示，并公开征求意见。</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第十二条</w:t>
      </w:r>
      <w:r>
        <w:rPr>
          <w:rFonts w:eastAsia="仿宋_GB2312"/>
          <w:snapToGrid w:val="0"/>
          <w:color w:val="000000"/>
          <w:sz w:val="32"/>
          <w:szCs w:val="32"/>
        </w:rPr>
        <w:t xml:space="preserve">  </w:t>
      </w:r>
      <w:r>
        <w:rPr>
          <w:rFonts w:eastAsia="仿宋_GB2312" w:hint="eastAsia"/>
          <w:snapToGrid w:val="0"/>
          <w:color w:val="000000"/>
          <w:sz w:val="32"/>
          <w:szCs w:val="32"/>
        </w:rPr>
        <w:t>绿地系统规划确定的绿化用地和已建绿地，实行绿线管理制度。任何单位和个人不得擅自改变绿地用地性质。确需调整绿地控制线的，应当依法报原审批机关批准，并向社会公布。</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第十三条</w:t>
      </w:r>
      <w:r>
        <w:rPr>
          <w:rFonts w:eastAsia="仿宋_GB2312"/>
          <w:snapToGrid w:val="0"/>
          <w:color w:val="000000"/>
          <w:sz w:val="32"/>
          <w:szCs w:val="32"/>
        </w:rPr>
        <w:t xml:space="preserve">  </w:t>
      </w:r>
      <w:r>
        <w:rPr>
          <w:rFonts w:eastAsia="仿宋_GB2312" w:hint="eastAsia"/>
          <w:snapToGrid w:val="0"/>
          <w:color w:val="000000"/>
          <w:sz w:val="32"/>
          <w:szCs w:val="32"/>
        </w:rPr>
        <w:t>城镇规划区范围内建设用地的绿地率，应当符合以下规定：</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（一）在规划道路红线宽度时，应当同时确定道路绿地率，新建城市道路红线宽度大于</w:t>
      </w:r>
      <w:r>
        <w:rPr>
          <w:rFonts w:eastAsia="仿宋_GB2312"/>
          <w:snapToGrid w:val="0"/>
          <w:color w:val="000000"/>
          <w:sz w:val="32"/>
          <w:szCs w:val="32"/>
        </w:rPr>
        <w:t>50</w:t>
      </w:r>
      <w:r>
        <w:rPr>
          <w:rFonts w:eastAsia="仿宋_GB2312" w:hint="eastAsia"/>
          <w:snapToGrid w:val="0"/>
          <w:color w:val="000000"/>
          <w:sz w:val="32"/>
          <w:szCs w:val="32"/>
        </w:rPr>
        <w:t>米的不低于</w:t>
      </w:r>
      <w:r>
        <w:rPr>
          <w:rFonts w:eastAsia="仿宋_GB2312"/>
          <w:snapToGrid w:val="0"/>
          <w:color w:val="000000"/>
          <w:sz w:val="32"/>
          <w:szCs w:val="32"/>
        </w:rPr>
        <w:t>30%</w:t>
      </w:r>
      <w:r>
        <w:rPr>
          <w:rFonts w:eastAsia="仿宋_GB2312" w:hint="eastAsia"/>
          <w:snapToGrid w:val="0"/>
          <w:color w:val="000000"/>
          <w:sz w:val="32"/>
          <w:szCs w:val="32"/>
        </w:rPr>
        <w:t>，红线宽度</w:t>
      </w:r>
      <w:r>
        <w:rPr>
          <w:rFonts w:eastAsia="仿宋_GB2312"/>
          <w:snapToGrid w:val="0"/>
          <w:color w:val="000000"/>
          <w:sz w:val="32"/>
          <w:szCs w:val="32"/>
        </w:rPr>
        <w:t>40</w:t>
      </w:r>
      <w:r>
        <w:rPr>
          <w:rFonts w:hint="eastAsia"/>
          <w:snapToGrid w:val="0"/>
          <w:color w:val="000000"/>
          <w:sz w:val="32"/>
          <w:szCs w:val="32"/>
        </w:rPr>
        <w:t>―</w:t>
      </w:r>
      <w:r>
        <w:rPr>
          <w:rFonts w:eastAsia="仿宋_GB2312"/>
          <w:snapToGrid w:val="0"/>
          <w:color w:val="000000"/>
          <w:sz w:val="32"/>
          <w:szCs w:val="32"/>
        </w:rPr>
        <w:t>50</w:t>
      </w:r>
      <w:r>
        <w:rPr>
          <w:rFonts w:eastAsia="仿宋_GB2312" w:hint="eastAsia"/>
          <w:snapToGrid w:val="0"/>
          <w:color w:val="000000"/>
          <w:sz w:val="32"/>
          <w:szCs w:val="32"/>
        </w:rPr>
        <w:t>米的不低于</w:t>
      </w:r>
      <w:r>
        <w:rPr>
          <w:rFonts w:eastAsia="仿宋_GB2312"/>
          <w:snapToGrid w:val="0"/>
          <w:color w:val="000000"/>
          <w:sz w:val="32"/>
          <w:szCs w:val="32"/>
        </w:rPr>
        <w:t>25%</w:t>
      </w:r>
      <w:r>
        <w:rPr>
          <w:rFonts w:eastAsia="仿宋_GB2312" w:hint="eastAsia"/>
          <w:snapToGrid w:val="0"/>
          <w:color w:val="000000"/>
          <w:sz w:val="32"/>
          <w:szCs w:val="32"/>
        </w:rPr>
        <w:t>，红线宽度小于</w:t>
      </w:r>
      <w:r>
        <w:rPr>
          <w:rFonts w:eastAsia="仿宋_GB2312"/>
          <w:snapToGrid w:val="0"/>
          <w:color w:val="000000"/>
          <w:sz w:val="32"/>
          <w:szCs w:val="32"/>
        </w:rPr>
        <w:t>40</w:t>
      </w:r>
      <w:r>
        <w:rPr>
          <w:rFonts w:eastAsia="仿宋_GB2312" w:hint="eastAsia"/>
          <w:snapToGrid w:val="0"/>
          <w:color w:val="000000"/>
          <w:sz w:val="32"/>
          <w:szCs w:val="32"/>
        </w:rPr>
        <w:t>米的不低于</w:t>
      </w:r>
      <w:r>
        <w:rPr>
          <w:rFonts w:eastAsia="仿宋_GB2312"/>
          <w:snapToGrid w:val="0"/>
          <w:color w:val="000000"/>
          <w:sz w:val="32"/>
          <w:szCs w:val="32"/>
        </w:rPr>
        <w:t>20%</w:t>
      </w:r>
      <w:r>
        <w:rPr>
          <w:rFonts w:eastAsia="仿宋_GB2312" w:hint="eastAsia"/>
          <w:snapToGrid w:val="0"/>
          <w:color w:val="000000"/>
          <w:sz w:val="32"/>
          <w:szCs w:val="32"/>
        </w:rPr>
        <w:t>，改扩建道路不低于原绿地率，低于</w:t>
      </w:r>
      <w:r>
        <w:rPr>
          <w:rFonts w:eastAsia="仿宋_GB2312"/>
          <w:snapToGrid w:val="0"/>
          <w:color w:val="000000"/>
          <w:sz w:val="32"/>
          <w:szCs w:val="32"/>
        </w:rPr>
        <w:t>20%</w:t>
      </w:r>
      <w:r>
        <w:rPr>
          <w:rFonts w:eastAsia="仿宋_GB2312" w:hint="eastAsia"/>
          <w:snapToGrid w:val="0"/>
          <w:color w:val="000000"/>
          <w:sz w:val="32"/>
          <w:szCs w:val="32"/>
        </w:rPr>
        <w:t>且有建设条件的，应当达到</w:t>
      </w:r>
      <w:r>
        <w:rPr>
          <w:rFonts w:eastAsia="仿宋_GB2312"/>
          <w:snapToGrid w:val="0"/>
          <w:color w:val="000000"/>
          <w:sz w:val="32"/>
          <w:szCs w:val="32"/>
        </w:rPr>
        <w:t>20%</w:t>
      </w:r>
      <w:r>
        <w:rPr>
          <w:rFonts w:eastAsia="仿宋_GB2312" w:hint="eastAsia"/>
          <w:snapToGrid w:val="0"/>
          <w:color w:val="000000"/>
          <w:sz w:val="32"/>
          <w:szCs w:val="32"/>
        </w:rPr>
        <w:t>；</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（二）新建居住区不低于</w:t>
      </w:r>
      <w:r>
        <w:rPr>
          <w:rFonts w:eastAsia="仿宋_GB2312"/>
          <w:snapToGrid w:val="0"/>
          <w:color w:val="000000"/>
          <w:sz w:val="32"/>
          <w:szCs w:val="32"/>
        </w:rPr>
        <w:t>40%</w:t>
      </w:r>
      <w:r>
        <w:rPr>
          <w:rFonts w:eastAsia="仿宋_GB2312" w:hint="eastAsia"/>
          <w:snapToGrid w:val="0"/>
          <w:color w:val="000000"/>
          <w:sz w:val="32"/>
          <w:szCs w:val="32"/>
        </w:rPr>
        <w:t>，其中用于建设集中绿地的绿地面积不低于建设项目用地总面积的</w:t>
      </w:r>
      <w:r>
        <w:rPr>
          <w:rFonts w:eastAsia="仿宋_GB2312"/>
          <w:snapToGrid w:val="0"/>
          <w:color w:val="000000"/>
          <w:sz w:val="32"/>
          <w:szCs w:val="32"/>
        </w:rPr>
        <w:t>10%</w:t>
      </w:r>
      <w:r>
        <w:rPr>
          <w:rFonts w:eastAsia="仿宋_GB2312" w:hint="eastAsia"/>
          <w:snapToGrid w:val="0"/>
          <w:color w:val="000000"/>
          <w:sz w:val="32"/>
          <w:szCs w:val="32"/>
        </w:rPr>
        <w:t>，老旧居住区改造不低于</w:t>
      </w:r>
      <w:r>
        <w:rPr>
          <w:rFonts w:eastAsia="仿宋_GB2312"/>
          <w:snapToGrid w:val="0"/>
          <w:color w:val="000000"/>
          <w:sz w:val="32"/>
          <w:szCs w:val="32"/>
        </w:rPr>
        <w:t>25%</w:t>
      </w:r>
      <w:r>
        <w:rPr>
          <w:rFonts w:eastAsia="仿宋_GB2312" w:hint="eastAsia"/>
          <w:snapToGrid w:val="0"/>
          <w:color w:val="000000"/>
          <w:sz w:val="32"/>
          <w:szCs w:val="32"/>
        </w:rPr>
        <w:t>；</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（三）商业、商务用地不低于</w:t>
      </w:r>
      <w:r>
        <w:rPr>
          <w:rFonts w:eastAsia="仿宋_GB2312"/>
          <w:snapToGrid w:val="0"/>
          <w:color w:val="000000"/>
          <w:sz w:val="32"/>
          <w:szCs w:val="32"/>
        </w:rPr>
        <w:t>20%</w:t>
      </w:r>
      <w:r>
        <w:rPr>
          <w:rFonts w:eastAsia="仿宋_GB2312" w:hint="eastAsia"/>
          <w:snapToGrid w:val="0"/>
          <w:color w:val="000000"/>
          <w:sz w:val="32"/>
          <w:szCs w:val="32"/>
        </w:rPr>
        <w:t>；</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（四）行政办公、文化设施、体育、医疗卫生、教育科研用地不低于</w:t>
      </w:r>
      <w:r>
        <w:rPr>
          <w:rFonts w:eastAsia="仿宋_GB2312"/>
          <w:snapToGrid w:val="0"/>
          <w:color w:val="000000"/>
          <w:sz w:val="32"/>
          <w:szCs w:val="32"/>
        </w:rPr>
        <w:t>35%</w:t>
      </w:r>
      <w:r>
        <w:rPr>
          <w:rFonts w:eastAsia="仿宋_GB2312" w:hint="eastAsia"/>
          <w:snapToGrid w:val="0"/>
          <w:color w:val="000000"/>
          <w:sz w:val="32"/>
          <w:szCs w:val="32"/>
        </w:rPr>
        <w:t>；</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（五）除国家、省另有规定外，其他建设项目不低于</w:t>
      </w:r>
      <w:r>
        <w:rPr>
          <w:rFonts w:eastAsia="仿宋_GB2312"/>
          <w:snapToGrid w:val="0"/>
          <w:color w:val="000000"/>
          <w:sz w:val="32"/>
          <w:szCs w:val="32"/>
        </w:rPr>
        <w:t>30%</w:t>
      </w:r>
      <w:r>
        <w:rPr>
          <w:rFonts w:eastAsia="仿宋_GB2312" w:hint="eastAsia"/>
          <w:snapToGrid w:val="0"/>
          <w:color w:val="000000"/>
          <w:sz w:val="32"/>
          <w:szCs w:val="32"/>
        </w:rPr>
        <w:t>。</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文物古迹用地的绿地率按照文物保护的有关规定执行；对历史文化街区和历史建筑进行改建的，保留原绿地面积并提高绿地率。</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用地性质为兼容用地的建设项目，按照各类性质建筑面积比例核定绿地率。</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城市功能和发展有特殊要求的区域，其绿地率指标按照控制性详细规划执行，并做到区域绿地率总体达标。</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第十四条</w:t>
      </w:r>
      <w:r>
        <w:rPr>
          <w:rFonts w:eastAsia="仿宋_GB2312"/>
          <w:snapToGrid w:val="0"/>
          <w:color w:val="000000"/>
          <w:sz w:val="32"/>
          <w:szCs w:val="32"/>
        </w:rPr>
        <w:t xml:space="preserve">  </w:t>
      </w:r>
      <w:r>
        <w:rPr>
          <w:rFonts w:eastAsia="仿宋_GB2312" w:hint="eastAsia"/>
          <w:snapToGrid w:val="0"/>
          <w:color w:val="000000"/>
          <w:sz w:val="32"/>
          <w:szCs w:val="32"/>
        </w:rPr>
        <w:t>城镇新建建筑物、构筑物和架设、埋设各类管线，与树木的距离应当符合国家有关技术规范。</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绿化用水管网规划应当纳入城市供排水规划。</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第十五条</w:t>
      </w:r>
      <w:r>
        <w:rPr>
          <w:rFonts w:eastAsia="仿宋_GB2312"/>
          <w:snapToGrid w:val="0"/>
          <w:color w:val="000000"/>
          <w:sz w:val="32"/>
          <w:szCs w:val="32"/>
        </w:rPr>
        <w:t xml:space="preserve">  </w:t>
      </w:r>
      <w:r>
        <w:rPr>
          <w:rFonts w:eastAsia="仿宋_GB2312" w:hint="eastAsia"/>
          <w:snapToGrid w:val="0"/>
          <w:color w:val="000000"/>
          <w:sz w:val="32"/>
          <w:szCs w:val="32"/>
        </w:rPr>
        <w:t>城市快速路两侧绿化宽度各不低于</w:t>
      </w:r>
      <w:r>
        <w:rPr>
          <w:rFonts w:eastAsia="仿宋_GB2312"/>
          <w:snapToGrid w:val="0"/>
          <w:color w:val="000000"/>
          <w:sz w:val="32"/>
          <w:szCs w:val="32"/>
        </w:rPr>
        <w:t>30</w:t>
      </w:r>
      <w:r>
        <w:rPr>
          <w:rFonts w:eastAsia="仿宋_GB2312" w:hint="eastAsia"/>
          <w:snapToGrid w:val="0"/>
          <w:color w:val="000000"/>
          <w:sz w:val="32"/>
          <w:szCs w:val="32"/>
        </w:rPr>
        <w:t>米。城市轨道交通地面区间两侧绿化宽度各为</w:t>
      </w:r>
      <w:r>
        <w:rPr>
          <w:rFonts w:eastAsia="仿宋_GB2312"/>
          <w:snapToGrid w:val="0"/>
          <w:color w:val="000000"/>
          <w:sz w:val="32"/>
          <w:szCs w:val="32"/>
        </w:rPr>
        <w:t>15—30</w:t>
      </w:r>
      <w:r>
        <w:rPr>
          <w:rFonts w:eastAsia="仿宋_GB2312" w:hint="eastAsia"/>
          <w:snapToGrid w:val="0"/>
          <w:color w:val="000000"/>
          <w:sz w:val="32"/>
          <w:szCs w:val="32"/>
        </w:rPr>
        <w:t>米，城市轨道交通高架下绿化宽度为</w:t>
      </w:r>
      <w:r>
        <w:rPr>
          <w:rFonts w:eastAsia="仿宋_GB2312"/>
          <w:snapToGrid w:val="0"/>
          <w:color w:val="000000"/>
          <w:sz w:val="32"/>
          <w:szCs w:val="32"/>
        </w:rPr>
        <w:t>15—30</w:t>
      </w:r>
      <w:r>
        <w:rPr>
          <w:rFonts w:eastAsia="仿宋_GB2312" w:hint="eastAsia"/>
          <w:snapToGrid w:val="0"/>
          <w:color w:val="000000"/>
          <w:sz w:val="32"/>
          <w:szCs w:val="32"/>
        </w:rPr>
        <w:t>米。高压线走廊、污水处理厂、变电站等市政基础设施按照相关规定，应当建设</w:t>
      </w:r>
      <w:r>
        <w:rPr>
          <w:rFonts w:eastAsia="仿宋_GB2312"/>
          <w:snapToGrid w:val="0"/>
          <w:color w:val="000000"/>
          <w:sz w:val="32"/>
          <w:szCs w:val="32"/>
        </w:rPr>
        <w:t>10</w:t>
      </w:r>
      <w:r>
        <w:rPr>
          <w:rFonts w:eastAsia="仿宋_GB2312" w:hint="eastAsia"/>
          <w:snapToGrid w:val="0"/>
          <w:color w:val="000000"/>
          <w:sz w:val="32"/>
          <w:szCs w:val="32"/>
        </w:rPr>
        <w:t>米以上的防护绿带。</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p>
    <w:p w:rsidR="005366A1" w:rsidRDefault="005366A1">
      <w:pPr>
        <w:topLinePunct/>
        <w:adjustRightInd w:val="0"/>
        <w:snapToGrid w:val="0"/>
        <w:spacing w:line="592" w:lineRule="exact"/>
        <w:jc w:val="center"/>
        <w:rPr>
          <w:rFonts w:ascii="黑体" w:eastAsia="黑体" w:hAnsi="黑体"/>
          <w:snapToGrid w:val="0"/>
          <w:color w:val="000000"/>
          <w:sz w:val="32"/>
          <w:szCs w:val="32"/>
        </w:rPr>
      </w:pPr>
      <w:r>
        <w:rPr>
          <w:rFonts w:ascii="黑体" w:eastAsia="黑体" w:hAnsi="黑体" w:hint="eastAsia"/>
          <w:snapToGrid w:val="0"/>
          <w:color w:val="000000"/>
          <w:sz w:val="32"/>
          <w:szCs w:val="32"/>
        </w:rPr>
        <w:t>第三章</w:t>
      </w:r>
      <w:r>
        <w:rPr>
          <w:rFonts w:eastAsia="仿宋_GB2312"/>
          <w:snapToGrid w:val="0"/>
          <w:color w:val="000000"/>
          <w:sz w:val="32"/>
          <w:szCs w:val="32"/>
        </w:rPr>
        <w:t xml:space="preserve">  </w:t>
      </w:r>
      <w:r>
        <w:rPr>
          <w:rFonts w:ascii="黑体" w:eastAsia="黑体" w:hAnsi="黑体" w:hint="eastAsia"/>
          <w:snapToGrid w:val="0"/>
          <w:color w:val="000000"/>
          <w:sz w:val="32"/>
          <w:szCs w:val="32"/>
        </w:rPr>
        <w:t>建</w:t>
      </w:r>
      <w:r>
        <w:rPr>
          <w:rFonts w:eastAsia="仿宋_GB2312"/>
          <w:snapToGrid w:val="0"/>
          <w:color w:val="000000"/>
          <w:sz w:val="32"/>
          <w:szCs w:val="32"/>
        </w:rPr>
        <w:t xml:space="preserve">  </w:t>
      </w:r>
      <w:r>
        <w:rPr>
          <w:rFonts w:ascii="黑体" w:eastAsia="黑体" w:hAnsi="黑体" w:hint="eastAsia"/>
          <w:snapToGrid w:val="0"/>
          <w:color w:val="000000"/>
          <w:sz w:val="32"/>
          <w:szCs w:val="32"/>
        </w:rPr>
        <w:t>设</w:t>
      </w:r>
    </w:p>
    <w:p w:rsidR="005366A1" w:rsidRDefault="005366A1">
      <w:pPr>
        <w:topLinePunct/>
        <w:adjustRightInd w:val="0"/>
        <w:snapToGrid w:val="0"/>
        <w:spacing w:line="592" w:lineRule="exact"/>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第十六条</w:t>
      </w:r>
      <w:r>
        <w:rPr>
          <w:rFonts w:eastAsia="仿宋_GB2312"/>
          <w:snapToGrid w:val="0"/>
          <w:color w:val="000000"/>
          <w:sz w:val="32"/>
          <w:szCs w:val="32"/>
        </w:rPr>
        <w:t xml:space="preserve">  </w:t>
      </w:r>
      <w:r>
        <w:rPr>
          <w:rFonts w:eastAsia="仿宋_GB2312" w:hint="eastAsia"/>
          <w:snapToGrid w:val="0"/>
          <w:color w:val="000000"/>
          <w:sz w:val="32"/>
          <w:szCs w:val="32"/>
        </w:rPr>
        <w:t>城镇绿化建设应当坚持政府主导，社会参与。市、县（市、区）人民政府应当将城镇绿化建设、管养经费纳入本级财政预算。</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第十七条</w:t>
      </w:r>
      <w:r>
        <w:rPr>
          <w:rFonts w:eastAsia="仿宋_GB2312"/>
          <w:snapToGrid w:val="0"/>
          <w:color w:val="000000"/>
          <w:sz w:val="32"/>
          <w:szCs w:val="32"/>
        </w:rPr>
        <w:t xml:space="preserve">  </w:t>
      </w:r>
      <w:r>
        <w:rPr>
          <w:rFonts w:eastAsia="仿宋_GB2312" w:hint="eastAsia"/>
          <w:snapToGrid w:val="0"/>
          <w:color w:val="000000"/>
          <w:sz w:val="32"/>
          <w:szCs w:val="32"/>
        </w:rPr>
        <w:t>新建、改建工程项目的绿化建设费用，应当列入建设项目总投资。各单位每年应当根据本单位的绿化建设和养护的要求，安排相应的绿化经费。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第十八条</w:t>
      </w:r>
      <w:r>
        <w:rPr>
          <w:rFonts w:eastAsia="仿宋_GB2312"/>
          <w:snapToGrid w:val="0"/>
          <w:color w:val="000000"/>
          <w:sz w:val="32"/>
          <w:szCs w:val="32"/>
        </w:rPr>
        <w:t xml:space="preserve">  </w:t>
      </w:r>
      <w:r>
        <w:rPr>
          <w:rFonts w:eastAsia="仿宋_GB2312" w:hint="eastAsia"/>
          <w:snapToGrid w:val="0"/>
          <w:color w:val="000000"/>
          <w:sz w:val="32"/>
          <w:szCs w:val="32"/>
        </w:rPr>
        <w:t>城镇行道树应当选用胸径不小于</w:t>
      </w:r>
      <w:r>
        <w:rPr>
          <w:rFonts w:eastAsia="仿宋_GB2312"/>
          <w:snapToGrid w:val="0"/>
          <w:color w:val="000000"/>
          <w:sz w:val="32"/>
          <w:szCs w:val="32"/>
        </w:rPr>
        <w:t>10</w:t>
      </w:r>
      <w:r>
        <w:rPr>
          <w:rFonts w:eastAsia="仿宋_GB2312" w:hint="eastAsia"/>
          <w:snapToGrid w:val="0"/>
          <w:color w:val="000000"/>
          <w:sz w:val="32"/>
          <w:szCs w:val="32"/>
        </w:rPr>
        <w:t>厘米全冠苗，遮荫效果良好，抗风性、抗病性、抗旱性、抗寒性强的适</w:t>
      </w:r>
      <w:r>
        <w:rPr>
          <w:rFonts w:eastAsia="仿宋_GB2312" w:hint="eastAsia"/>
          <w:snapToGrid w:val="0"/>
          <w:color w:val="000000"/>
          <w:spacing w:val="-6"/>
          <w:sz w:val="32"/>
          <w:szCs w:val="32"/>
        </w:rPr>
        <w:t>宜树种；有条件的道路应当栽植开花乔木，突出色彩和季相变化。</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行道树栽植应当符合行人和车辆通行安全的要求。</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第十九条</w:t>
      </w:r>
      <w:r>
        <w:rPr>
          <w:rFonts w:eastAsia="仿宋_GB2312"/>
          <w:snapToGrid w:val="0"/>
          <w:color w:val="000000"/>
          <w:sz w:val="32"/>
          <w:szCs w:val="32"/>
        </w:rPr>
        <w:t xml:space="preserve">  </w:t>
      </w:r>
      <w:r>
        <w:rPr>
          <w:rFonts w:eastAsia="仿宋_GB2312" w:hint="eastAsia"/>
          <w:snapToGrid w:val="0"/>
          <w:color w:val="000000"/>
          <w:sz w:val="32"/>
          <w:szCs w:val="32"/>
        </w:rPr>
        <w:t>鼓励发展垂直绿化、屋顶绿化、桥梁绿化和林荫停车场等多种绿化形式，并可以折算绿地率。</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第二十条</w:t>
      </w:r>
      <w:r>
        <w:rPr>
          <w:rFonts w:eastAsia="仿宋_GB2312"/>
          <w:snapToGrid w:val="0"/>
          <w:color w:val="000000"/>
          <w:sz w:val="32"/>
          <w:szCs w:val="32"/>
        </w:rPr>
        <w:t xml:space="preserve">  </w:t>
      </w:r>
      <w:r>
        <w:rPr>
          <w:rFonts w:eastAsia="仿宋_GB2312" w:hint="eastAsia"/>
          <w:snapToGrid w:val="0"/>
          <w:color w:val="000000"/>
          <w:sz w:val="32"/>
          <w:szCs w:val="32"/>
        </w:rPr>
        <w:t>鼓励、扶持单位和个人发展苗木产业，以满足城镇绿化建设的需要。</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第二十一条</w:t>
      </w:r>
      <w:r>
        <w:rPr>
          <w:rFonts w:eastAsia="仿宋_GB2312"/>
          <w:snapToGrid w:val="0"/>
          <w:color w:val="000000"/>
          <w:sz w:val="32"/>
          <w:szCs w:val="32"/>
        </w:rPr>
        <w:t xml:space="preserve">  </w:t>
      </w:r>
      <w:r>
        <w:rPr>
          <w:rFonts w:eastAsia="仿宋_GB2312" w:hint="eastAsia"/>
          <w:snapToGrid w:val="0"/>
          <w:color w:val="000000"/>
          <w:sz w:val="32"/>
          <w:szCs w:val="32"/>
        </w:rPr>
        <w:t>城镇绿化工程的设计，应当由具备相应资质的单位承担。绿化行政管理部门应当加强对绿化工程施工事中事后的监管。</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第二十二条</w:t>
      </w:r>
      <w:r>
        <w:rPr>
          <w:rFonts w:eastAsia="仿宋_GB2312"/>
          <w:snapToGrid w:val="0"/>
          <w:color w:val="000000"/>
          <w:sz w:val="32"/>
          <w:szCs w:val="32"/>
        </w:rPr>
        <w:t xml:space="preserve">  </w:t>
      </w:r>
      <w:r>
        <w:rPr>
          <w:rFonts w:eastAsia="仿宋_GB2312" w:hint="eastAsia"/>
          <w:snapToGrid w:val="0"/>
          <w:color w:val="000000"/>
          <w:sz w:val="32"/>
          <w:szCs w:val="32"/>
        </w:rPr>
        <w:t>全部或者部分使用国有资金投资或者国家融资的建设项目的绿化工程，应当按照规定实行招投标和施工监理制。</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第二十三条</w:t>
      </w:r>
      <w:r>
        <w:rPr>
          <w:rFonts w:eastAsia="仿宋_GB2312"/>
          <w:snapToGrid w:val="0"/>
          <w:color w:val="000000"/>
          <w:sz w:val="32"/>
          <w:szCs w:val="32"/>
        </w:rPr>
        <w:t xml:space="preserve">  </w:t>
      </w:r>
      <w:r>
        <w:rPr>
          <w:rFonts w:eastAsia="仿宋_GB2312" w:hint="eastAsia"/>
          <w:snapToGrid w:val="0"/>
          <w:color w:val="000000"/>
          <w:sz w:val="32"/>
          <w:szCs w:val="32"/>
        </w:rPr>
        <w:t>工程建设项目的附属绿化工程设计方案，按照基本建设程序审批时，应当有县（市、区）绿化行政管理部门参加审查。</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建设单位必须按照批准的绿化工程设计方案进行施工。绿化工程设计方案确需改变时，须经原批准机关审批。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第二十四条</w:t>
      </w:r>
      <w:r>
        <w:rPr>
          <w:rFonts w:eastAsia="仿宋_GB2312"/>
          <w:snapToGrid w:val="0"/>
          <w:color w:val="000000"/>
          <w:sz w:val="32"/>
          <w:szCs w:val="32"/>
        </w:rPr>
        <w:t xml:space="preserve">  </w:t>
      </w:r>
      <w:r>
        <w:rPr>
          <w:rFonts w:eastAsia="仿宋_GB2312" w:hint="eastAsia"/>
          <w:snapToGrid w:val="0"/>
          <w:color w:val="000000"/>
          <w:sz w:val="32"/>
          <w:szCs w:val="32"/>
        </w:rPr>
        <w:t>因客观条件限制，改扩建项目绿地率达不到指标的，应当进行异地补绿，异地补绿由县（市、区）绿化行政管理部门提出初步审查意见，报县（市、区）人民政府批准并监督执行。新建项目不得进行异地补绿。</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第二十五条</w:t>
      </w:r>
      <w:r>
        <w:rPr>
          <w:rFonts w:eastAsia="仿宋_GB2312"/>
          <w:snapToGrid w:val="0"/>
          <w:color w:val="000000"/>
          <w:sz w:val="32"/>
          <w:szCs w:val="32"/>
        </w:rPr>
        <w:t xml:space="preserve">  </w:t>
      </w:r>
      <w:r>
        <w:rPr>
          <w:rFonts w:eastAsia="仿宋_GB2312" w:hint="eastAsia"/>
          <w:snapToGrid w:val="0"/>
          <w:color w:val="000000"/>
          <w:sz w:val="32"/>
          <w:szCs w:val="32"/>
        </w:rPr>
        <w:t>城镇绿化工程应当按照国家相关规范、行业标准进行建设，市绿化行政管理部门负责市级重点工程和大、中型公园绿地建设的绿化质量监督和检查；县（市、区）绿化行政管理部门负责辖区内绿化质量监督和检查。</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使用国有资金或者国家融资建设的园林绿化工程，由市绿化行政管理部门进行质量监督。</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第二十六条</w:t>
      </w:r>
      <w:r>
        <w:rPr>
          <w:rFonts w:eastAsia="仿宋_GB2312"/>
          <w:snapToGrid w:val="0"/>
          <w:color w:val="000000"/>
          <w:sz w:val="32"/>
          <w:szCs w:val="32"/>
        </w:rPr>
        <w:t xml:space="preserve">  </w:t>
      </w:r>
      <w:r>
        <w:rPr>
          <w:rFonts w:eastAsia="仿宋_GB2312" w:hint="eastAsia"/>
          <w:snapToGrid w:val="0"/>
          <w:color w:val="000000"/>
          <w:sz w:val="32"/>
          <w:szCs w:val="32"/>
        </w:rPr>
        <w:t>绿化工程竣工验收应当通知项目所在地县（市、区）绿化行政管理部门，绿化行政管理部门或者其委托的质量安全监督机构应当按照有关规定监督工程竣工验收，出具《工程质量监督报告》，并纳入绿化市场主体信用记录。</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第二十七条</w:t>
      </w:r>
      <w:r>
        <w:rPr>
          <w:rFonts w:eastAsia="仿宋_GB2312"/>
          <w:snapToGrid w:val="0"/>
          <w:color w:val="000000"/>
          <w:sz w:val="32"/>
          <w:szCs w:val="32"/>
        </w:rPr>
        <w:t xml:space="preserve">  </w:t>
      </w:r>
      <w:r>
        <w:rPr>
          <w:rFonts w:eastAsia="仿宋_GB2312" w:hint="eastAsia"/>
          <w:snapToGrid w:val="0"/>
          <w:color w:val="000000"/>
          <w:sz w:val="32"/>
          <w:szCs w:val="32"/>
        </w:rPr>
        <w:t>城镇规划区范围内所有可绿化的空地，应当进行绿化建设。对闲置的可绿化用地，由县（市、区）绿化行政管理部门督促有关单位进行临时绿化。</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对于超过三个月不能开工的建设用地，建设单位应当对裸露地面进行绿化、铺装或者遮盖。</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p>
    <w:p w:rsidR="005366A1" w:rsidRDefault="005366A1">
      <w:pPr>
        <w:topLinePunct/>
        <w:adjustRightInd w:val="0"/>
        <w:snapToGrid w:val="0"/>
        <w:spacing w:line="592" w:lineRule="exact"/>
        <w:jc w:val="center"/>
        <w:rPr>
          <w:rFonts w:ascii="黑体" w:eastAsia="黑体" w:hAnsi="黑体"/>
          <w:snapToGrid w:val="0"/>
          <w:color w:val="000000"/>
          <w:sz w:val="32"/>
          <w:szCs w:val="32"/>
        </w:rPr>
      </w:pPr>
      <w:r>
        <w:rPr>
          <w:rFonts w:ascii="黑体" w:eastAsia="黑体" w:hAnsi="黑体" w:hint="eastAsia"/>
          <w:snapToGrid w:val="0"/>
          <w:color w:val="000000"/>
          <w:sz w:val="32"/>
          <w:szCs w:val="32"/>
        </w:rPr>
        <w:t>第四章</w:t>
      </w:r>
      <w:r>
        <w:rPr>
          <w:rFonts w:eastAsia="仿宋_GB2312"/>
          <w:snapToGrid w:val="0"/>
          <w:color w:val="000000"/>
          <w:sz w:val="32"/>
          <w:szCs w:val="32"/>
        </w:rPr>
        <w:t xml:space="preserve">  </w:t>
      </w:r>
      <w:r>
        <w:rPr>
          <w:rFonts w:ascii="黑体" w:eastAsia="黑体" w:hAnsi="黑体" w:hint="eastAsia"/>
          <w:snapToGrid w:val="0"/>
          <w:color w:val="000000"/>
          <w:sz w:val="32"/>
          <w:szCs w:val="32"/>
        </w:rPr>
        <w:t>管</w:t>
      </w:r>
      <w:r>
        <w:rPr>
          <w:rFonts w:eastAsia="仿宋_GB2312"/>
          <w:snapToGrid w:val="0"/>
          <w:color w:val="000000"/>
          <w:sz w:val="32"/>
          <w:szCs w:val="32"/>
        </w:rPr>
        <w:t xml:space="preserve">  </w:t>
      </w:r>
      <w:r>
        <w:rPr>
          <w:rFonts w:ascii="黑体" w:eastAsia="黑体" w:hAnsi="黑体" w:hint="eastAsia"/>
          <w:snapToGrid w:val="0"/>
          <w:color w:val="000000"/>
          <w:sz w:val="32"/>
          <w:szCs w:val="32"/>
        </w:rPr>
        <w:t>理</w:t>
      </w:r>
    </w:p>
    <w:p w:rsidR="005366A1" w:rsidRDefault="005366A1">
      <w:pPr>
        <w:topLinePunct/>
        <w:adjustRightInd w:val="0"/>
        <w:snapToGrid w:val="0"/>
        <w:spacing w:line="592" w:lineRule="exact"/>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第二十八条</w:t>
      </w:r>
      <w:r>
        <w:rPr>
          <w:rFonts w:eastAsia="仿宋_GB2312"/>
          <w:snapToGrid w:val="0"/>
          <w:color w:val="000000"/>
          <w:sz w:val="32"/>
          <w:szCs w:val="32"/>
        </w:rPr>
        <w:t xml:space="preserve">  </w:t>
      </w:r>
      <w:r>
        <w:rPr>
          <w:rFonts w:eastAsia="仿宋_GB2312" w:hint="eastAsia"/>
          <w:snapToGrid w:val="0"/>
          <w:color w:val="000000"/>
          <w:sz w:val="32"/>
          <w:szCs w:val="32"/>
        </w:rPr>
        <w:t>城镇绿地的养护管理单位应当建立健全管理制度，严格执行绿化养护技术规范。绿化行政管理部门应当加强对城镇绿化养护管理工作的监督和指导，定期进行检查。</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公园绿地、道路绿地，由绿化行政管理部门负责管理。居住区绿地按照行政隶属关系负责管理。单位自建的绿地，由该单位自行管理。生产绿地由经营单位负责管理。</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第二十九条</w:t>
      </w:r>
      <w:r>
        <w:rPr>
          <w:rFonts w:eastAsia="仿宋_GB2312"/>
          <w:snapToGrid w:val="0"/>
          <w:color w:val="000000"/>
          <w:sz w:val="32"/>
          <w:szCs w:val="32"/>
        </w:rPr>
        <w:t xml:space="preserve">  </w:t>
      </w:r>
      <w:r>
        <w:rPr>
          <w:rFonts w:eastAsia="仿宋_GB2312" w:hint="eastAsia"/>
          <w:snapToGrid w:val="0"/>
          <w:color w:val="000000"/>
          <w:sz w:val="32"/>
          <w:szCs w:val="32"/>
        </w:rPr>
        <w:t>任何单位和个人不得擅自占用绿地。因市政建设和重大基础设施建设需要临时占用绿地的，应当向县（市、区）绿化行政管理部门报批。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经批准临时占用绿地的，应当按照批准使用的期限和占用的面积归还并原址恢复，恢复方案由县（市、区）绿化行政管理部门审批。临时占用城镇绿地的时间不得超过</w:t>
      </w:r>
      <w:r>
        <w:rPr>
          <w:rFonts w:eastAsia="仿宋_GB2312"/>
          <w:snapToGrid w:val="0"/>
          <w:color w:val="000000"/>
          <w:sz w:val="32"/>
          <w:szCs w:val="32"/>
        </w:rPr>
        <w:t>1</w:t>
      </w:r>
      <w:r>
        <w:rPr>
          <w:rFonts w:eastAsia="仿宋_GB2312" w:hint="eastAsia"/>
          <w:snapToGrid w:val="0"/>
          <w:color w:val="000000"/>
          <w:sz w:val="32"/>
          <w:szCs w:val="32"/>
        </w:rPr>
        <w:t>年，因特殊原因需要延长占用时间的按照程序另行报批；重大基础设施项目可按照施工期限报批。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第三十条</w:t>
      </w:r>
      <w:r>
        <w:rPr>
          <w:rFonts w:eastAsia="仿宋_GB2312"/>
          <w:snapToGrid w:val="0"/>
          <w:color w:val="000000"/>
          <w:sz w:val="32"/>
          <w:szCs w:val="32"/>
        </w:rPr>
        <w:t xml:space="preserve">  </w:t>
      </w:r>
      <w:r>
        <w:rPr>
          <w:rFonts w:eastAsia="仿宋_GB2312" w:hint="eastAsia"/>
          <w:snapToGrid w:val="0"/>
          <w:color w:val="000000"/>
          <w:sz w:val="32"/>
          <w:szCs w:val="32"/>
        </w:rPr>
        <w:t>城镇绿地因市政建设和重大基础建设需改变绿地性质的，由县（市、区）绿化行政管理部门审批。所占绿地面积须在县（市、区）范围内还建，由县（市、区）绿化行政管理部门批准并监督执行。</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第三十一条</w:t>
      </w:r>
      <w:r>
        <w:rPr>
          <w:rFonts w:eastAsia="仿宋_GB2312"/>
          <w:snapToGrid w:val="0"/>
          <w:color w:val="000000"/>
          <w:sz w:val="32"/>
          <w:szCs w:val="32"/>
        </w:rPr>
        <w:t xml:space="preserve">  </w:t>
      </w:r>
      <w:r>
        <w:rPr>
          <w:rFonts w:eastAsia="仿宋_GB2312" w:hint="eastAsia"/>
          <w:snapToGrid w:val="0"/>
          <w:color w:val="000000"/>
          <w:sz w:val="32"/>
          <w:szCs w:val="32"/>
        </w:rPr>
        <w:t>城镇重大建设项目涉及占用绿地、砍伐或者移栽树木的，应当由县（市、区）绿化行政管理部门组织绿化环境咨询评估。</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第三十二条</w:t>
      </w:r>
      <w:r>
        <w:rPr>
          <w:rFonts w:eastAsia="仿宋_GB2312"/>
          <w:snapToGrid w:val="0"/>
          <w:color w:val="000000"/>
          <w:sz w:val="32"/>
          <w:szCs w:val="32"/>
        </w:rPr>
        <w:t xml:space="preserve">  </w:t>
      </w:r>
      <w:r>
        <w:rPr>
          <w:rFonts w:eastAsia="仿宋_GB2312" w:hint="eastAsia"/>
          <w:snapToGrid w:val="0"/>
          <w:color w:val="000000"/>
          <w:sz w:val="32"/>
          <w:szCs w:val="32"/>
        </w:rPr>
        <w:t>城镇规划区范围内的公园绿地、防护绿地、附属绿地及其他公布保护的树木禁止擅自砍伐、移植。确需砍伐、移植的，应当报县（市、区）绿化行政管理部门按照程序审批。申请人在砍伐、移植前进行公示或者公告。</w:t>
      </w:r>
    </w:p>
    <w:p w:rsidR="005366A1" w:rsidRDefault="005366A1" w:rsidP="008833B0">
      <w:pPr>
        <w:topLinePunct/>
        <w:adjustRightInd w:val="0"/>
        <w:snapToGrid w:val="0"/>
        <w:spacing w:line="592" w:lineRule="exact"/>
        <w:ind w:firstLineChars="200" w:firstLine="31680"/>
        <w:rPr>
          <w:rFonts w:eastAsia="仿宋_GB2312"/>
          <w:snapToGrid w:val="0"/>
          <w:color w:val="000000"/>
          <w:spacing w:val="-8"/>
          <w:sz w:val="32"/>
          <w:szCs w:val="32"/>
        </w:rPr>
      </w:pPr>
      <w:r>
        <w:rPr>
          <w:rFonts w:eastAsia="仿宋_GB2312" w:hint="eastAsia"/>
          <w:snapToGrid w:val="0"/>
          <w:color w:val="000000"/>
          <w:spacing w:val="-8"/>
          <w:sz w:val="32"/>
          <w:szCs w:val="32"/>
        </w:rPr>
        <w:t>经批准砍伐树木的，应当在规定的期限内按照“砍一栽五”的原则补植树木，并保证补植树木的成活。不具备补植树木条件的单位和个人，可以委托县（市、区）绿化行政管理部门进行补植。</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因树种、规格、立地条件等因素移植后较难成活的树木，应当就地保护。</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城镇树木的高度应当按照国家有关规范与架空线保持安全净距。因树木自然生长影响架空线安全的，树木管护单位应当按照兼顾管线安全使用和树木正常生长的原则进行修剪，费用由管线主管单位承担；树木管护单位逾期不修剪的，县（市、区）绿化行政管理部门应当监督指导树木管护单位进行修剪。</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第三十三条</w:t>
      </w:r>
      <w:r>
        <w:rPr>
          <w:rFonts w:eastAsia="仿宋_GB2312"/>
          <w:snapToGrid w:val="0"/>
          <w:color w:val="000000"/>
          <w:sz w:val="32"/>
          <w:szCs w:val="32"/>
        </w:rPr>
        <w:t xml:space="preserve">  </w:t>
      </w:r>
      <w:r>
        <w:rPr>
          <w:rFonts w:eastAsia="仿宋_GB2312" w:hint="eastAsia"/>
          <w:snapToGrid w:val="0"/>
          <w:color w:val="000000"/>
          <w:sz w:val="32"/>
          <w:szCs w:val="32"/>
        </w:rPr>
        <w:t>绿化管护单位和树木所有者，应当对树木的生长和养护管理进行定期检查，防止责任事故发生。</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因生产、交通事故、自然灾害致使树木折断、倾斜、倒伏可能危及管线、交通、建（构）筑物及人身安全时，有关单位可以先行采取处理措施，并及时报告县（市、区）绿化行政管理部门和绿地管理单位。</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第三十四条</w:t>
      </w:r>
      <w:r>
        <w:rPr>
          <w:rFonts w:eastAsia="仿宋_GB2312"/>
          <w:snapToGrid w:val="0"/>
          <w:color w:val="000000"/>
          <w:sz w:val="32"/>
          <w:szCs w:val="32"/>
        </w:rPr>
        <w:t xml:space="preserve">  </w:t>
      </w:r>
      <w:r>
        <w:rPr>
          <w:rFonts w:eastAsia="仿宋_GB2312" w:hint="eastAsia"/>
          <w:snapToGrid w:val="0"/>
          <w:color w:val="000000"/>
          <w:sz w:val="32"/>
          <w:szCs w:val="32"/>
        </w:rPr>
        <w:t>城镇规划区范围内的古树名木及古树后续资源由市绿化行政管理部门统一登记造册和挂牌标示，划定保护范围。单位和私人庭院内的古树名木，由该单位和个人负责养护，与县（市、区）绿化行政管理部门签订养护责任书，接受其监督和技术指导。</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严禁砍伐或者迁移古树名木。因特殊需要迁移古树名木，必须经县（市、区）绿化行政管理部门审查同意，并报同级或者上级人民政府批准。</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第三十五条</w:t>
      </w:r>
      <w:r>
        <w:rPr>
          <w:rFonts w:eastAsia="仿宋_GB2312"/>
          <w:snapToGrid w:val="0"/>
          <w:color w:val="000000"/>
          <w:sz w:val="32"/>
          <w:szCs w:val="32"/>
        </w:rPr>
        <w:t xml:space="preserve">  </w:t>
      </w:r>
      <w:r>
        <w:rPr>
          <w:rFonts w:eastAsia="仿宋_GB2312" w:hint="eastAsia"/>
          <w:snapToGrid w:val="0"/>
          <w:color w:val="000000"/>
          <w:sz w:val="32"/>
          <w:szCs w:val="32"/>
        </w:rPr>
        <w:t>在城镇绿地内禁止下列行为：</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（一）损坏花坛、绿篱、栏杆、草坪、钉栓刻划树木、攀折花木；</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（二）行驶、停放车辆，燃放烟花爆竹；</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（三）擅自设置广告牌、营业摊点、堆放物料；</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（四）开垦种植、饲养家畜家禽；</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（五）倾倒垃圾污物、污水、化学物品及残渣；</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（六）取土、挖沙、采石；</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（七）偷盗、损坏雕塑、建筑小品等园林设施；</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（八）其他损坏绿化及其设施的行为。</w:t>
      </w:r>
    </w:p>
    <w:p w:rsidR="005366A1" w:rsidRDefault="005366A1" w:rsidP="008833B0">
      <w:pPr>
        <w:topLinePunct/>
        <w:adjustRightInd w:val="0"/>
        <w:snapToGrid w:val="0"/>
        <w:spacing w:line="592" w:lineRule="exact"/>
        <w:ind w:firstLineChars="200" w:firstLine="31680"/>
        <w:rPr>
          <w:rFonts w:eastAsia="仿宋_GB2312"/>
          <w:snapToGrid w:val="0"/>
          <w:color w:val="000000"/>
          <w:spacing w:val="-8"/>
          <w:sz w:val="32"/>
          <w:szCs w:val="32"/>
        </w:rPr>
      </w:pPr>
      <w:r>
        <w:rPr>
          <w:rFonts w:ascii="黑体" w:eastAsia="黑体" w:hAnsi="黑体" w:hint="eastAsia"/>
          <w:snapToGrid w:val="0"/>
          <w:color w:val="000000"/>
          <w:sz w:val="32"/>
          <w:szCs w:val="32"/>
        </w:rPr>
        <w:t>第三十六条</w:t>
      </w:r>
      <w:r>
        <w:rPr>
          <w:rFonts w:eastAsia="仿宋_GB2312"/>
          <w:snapToGrid w:val="0"/>
          <w:color w:val="000000"/>
          <w:sz w:val="32"/>
          <w:szCs w:val="32"/>
        </w:rPr>
        <w:t xml:space="preserve">  </w:t>
      </w:r>
      <w:r>
        <w:rPr>
          <w:rFonts w:eastAsia="仿宋_GB2312" w:hint="eastAsia"/>
          <w:snapToGrid w:val="0"/>
          <w:color w:val="000000"/>
          <w:spacing w:val="-8"/>
          <w:sz w:val="32"/>
          <w:szCs w:val="32"/>
        </w:rPr>
        <w:t>城镇绿地遭受地震、冰雪、雷电等自然灾害的，市、县（市、区）人民政府及有关部门应当及时采取补救措施。</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第三十七条</w:t>
      </w:r>
      <w:r>
        <w:rPr>
          <w:rFonts w:eastAsia="仿宋_GB2312"/>
          <w:snapToGrid w:val="0"/>
          <w:color w:val="000000"/>
          <w:sz w:val="32"/>
          <w:szCs w:val="32"/>
        </w:rPr>
        <w:t xml:space="preserve">  </w:t>
      </w:r>
      <w:r>
        <w:rPr>
          <w:rFonts w:eastAsia="仿宋_GB2312" w:hint="eastAsia"/>
          <w:snapToGrid w:val="0"/>
          <w:color w:val="000000"/>
          <w:sz w:val="32"/>
          <w:szCs w:val="32"/>
        </w:rPr>
        <w:t>市、县（市、区）绿化行政管理部门应当做好城镇绿化植物的病、虫害预测预防工作。因城镇绿化引入本市的植物，应当经过有关部门的检疫。</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第三十八条</w:t>
      </w:r>
      <w:r>
        <w:rPr>
          <w:rFonts w:eastAsia="仿宋_GB2312"/>
          <w:snapToGrid w:val="0"/>
          <w:color w:val="000000"/>
          <w:sz w:val="32"/>
          <w:szCs w:val="32"/>
        </w:rPr>
        <w:t xml:space="preserve">  </w:t>
      </w:r>
      <w:r>
        <w:rPr>
          <w:rFonts w:eastAsia="仿宋_GB2312" w:hint="eastAsia"/>
          <w:snapToGrid w:val="0"/>
          <w:color w:val="000000"/>
          <w:sz w:val="32"/>
          <w:szCs w:val="32"/>
        </w:rPr>
        <w:t>市、县（市、区）绿化行政管理部门应当建立数字化管理体系，城镇绿化信息数据向社会公开。</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第三十九条</w:t>
      </w:r>
      <w:r>
        <w:rPr>
          <w:rFonts w:eastAsia="仿宋_GB2312"/>
          <w:snapToGrid w:val="0"/>
          <w:color w:val="000000"/>
          <w:sz w:val="32"/>
          <w:szCs w:val="32"/>
        </w:rPr>
        <w:t xml:space="preserve">  </w:t>
      </w:r>
      <w:r>
        <w:rPr>
          <w:rFonts w:eastAsia="仿宋_GB2312" w:hint="eastAsia"/>
          <w:snapToGrid w:val="0"/>
          <w:color w:val="000000"/>
          <w:sz w:val="32"/>
          <w:szCs w:val="32"/>
        </w:rPr>
        <w:t>任何单位和个人不得擅自在公园绿地、防护绿地、风景林和道路绿地中设置与绿化无关的设施。</w:t>
      </w:r>
    </w:p>
    <w:p w:rsidR="005366A1" w:rsidRDefault="005366A1">
      <w:pPr>
        <w:topLinePunct/>
        <w:adjustRightInd w:val="0"/>
        <w:snapToGrid w:val="0"/>
        <w:spacing w:line="592" w:lineRule="exact"/>
        <w:rPr>
          <w:rFonts w:eastAsia="仿宋_GB2312"/>
          <w:snapToGrid w:val="0"/>
          <w:color w:val="000000"/>
          <w:sz w:val="32"/>
          <w:szCs w:val="32"/>
        </w:rPr>
      </w:pPr>
    </w:p>
    <w:p w:rsidR="005366A1" w:rsidRDefault="005366A1">
      <w:pPr>
        <w:topLinePunct/>
        <w:adjustRightInd w:val="0"/>
        <w:snapToGrid w:val="0"/>
        <w:spacing w:line="592" w:lineRule="exact"/>
        <w:jc w:val="center"/>
        <w:rPr>
          <w:rFonts w:ascii="黑体" w:eastAsia="黑体" w:hAnsi="黑体"/>
          <w:snapToGrid w:val="0"/>
          <w:color w:val="000000"/>
          <w:sz w:val="32"/>
          <w:szCs w:val="32"/>
        </w:rPr>
      </w:pPr>
      <w:r>
        <w:rPr>
          <w:rFonts w:ascii="黑体" w:eastAsia="黑体" w:hAnsi="黑体" w:hint="eastAsia"/>
          <w:snapToGrid w:val="0"/>
          <w:color w:val="000000"/>
          <w:sz w:val="32"/>
          <w:szCs w:val="32"/>
        </w:rPr>
        <w:t>第五章</w:t>
      </w:r>
      <w:r>
        <w:rPr>
          <w:rFonts w:eastAsia="仿宋_GB2312"/>
          <w:snapToGrid w:val="0"/>
          <w:color w:val="000000"/>
          <w:sz w:val="32"/>
          <w:szCs w:val="32"/>
        </w:rPr>
        <w:t xml:space="preserve">  </w:t>
      </w:r>
      <w:r>
        <w:rPr>
          <w:rFonts w:ascii="黑体" w:eastAsia="黑体" w:hAnsi="黑体" w:hint="eastAsia"/>
          <w:snapToGrid w:val="0"/>
          <w:color w:val="000000"/>
          <w:sz w:val="32"/>
          <w:szCs w:val="32"/>
        </w:rPr>
        <w:t>法律责任</w:t>
      </w:r>
    </w:p>
    <w:p w:rsidR="005366A1" w:rsidRDefault="005366A1">
      <w:pPr>
        <w:topLinePunct/>
        <w:adjustRightInd w:val="0"/>
        <w:snapToGrid w:val="0"/>
        <w:spacing w:line="592" w:lineRule="exact"/>
        <w:jc w:val="center"/>
        <w:rPr>
          <w:rFonts w:eastAsia="仿宋_GB2312"/>
          <w:snapToGrid w:val="0"/>
          <w:color w:val="000000"/>
          <w:sz w:val="32"/>
          <w:szCs w:val="32"/>
        </w:rPr>
      </w:pP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第四十条</w:t>
      </w:r>
      <w:r>
        <w:rPr>
          <w:rFonts w:eastAsia="仿宋_GB2312"/>
          <w:snapToGrid w:val="0"/>
          <w:color w:val="000000"/>
          <w:sz w:val="32"/>
          <w:szCs w:val="32"/>
        </w:rPr>
        <w:t xml:space="preserve">  </w:t>
      </w:r>
      <w:r>
        <w:rPr>
          <w:rFonts w:eastAsia="仿宋_GB2312" w:hint="eastAsia"/>
          <w:snapToGrid w:val="0"/>
          <w:color w:val="000000"/>
          <w:sz w:val="32"/>
          <w:szCs w:val="32"/>
        </w:rPr>
        <w:t>违反本条例第二十一条规定，未取得资质证书或者超越资质等级许可的范围从事城镇绿化工程设计的，由县（市、区）绿化行政管理部门按照有关法律、法规的规定予以处罚。</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第四十一条</w:t>
      </w:r>
      <w:r>
        <w:rPr>
          <w:rFonts w:eastAsia="仿宋_GB2312"/>
          <w:snapToGrid w:val="0"/>
          <w:color w:val="000000"/>
          <w:sz w:val="32"/>
          <w:szCs w:val="32"/>
        </w:rPr>
        <w:t xml:space="preserve">  </w:t>
      </w:r>
      <w:r>
        <w:rPr>
          <w:rFonts w:eastAsia="仿宋_GB2312" w:hint="eastAsia"/>
          <w:snapToGrid w:val="0"/>
          <w:color w:val="000000"/>
          <w:sz w:val="32"/>
          <w:szCs w:val="32"/>
        </w:rPr>
        <w:t>违反本条例第二十三条规定，工程建设项目的附属绿化工程设计方案，未经批准或者未按照批准的设计方案施工的，由县（市、区）绿化行政管理部门责令停止施工、限期改正或者采取其他补救措施。</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第四十二条</w:t>
      </w:r>
      <w:r>
        <w:rPr>
          <w:rFonts w:eastAsia="仿宋_GB2312"/>
          <w:snapToGrid w:val="0"/>
          <w:color w:val="000000"/>
          <w:sz w:val="32"/>
          <w:szCs w:val="32"/>
        </w:rPr>
        <w:t xml:space="preserve">  </w:t>
      </w:r>
      <w:r>
        <w:rPr>
          <w:rFonts w:eastAsia="仿宋_GB2312" w:hint="eastAsia"/>
          <w:snapToGrid w:val="0"/>
          <w:color w:val="000000"/>
          <w:sz w:val="32"/>
          <w:szCs w:val="32"/>
        </w:rPr>
        <w:t>违反本条例第二十七条第二款规定，未对超过三个月不能开工的建设用地的裸露地面进行绿化、铺装或者遮盖的，由县（市、区）绿化行政管理部门责令限期改正，逾期不改的，处以</w:t>
      </w:r>
      <w:r>
        <w:rPr>
          <w:rFonts w:eastAsia="仿宋_GB2312"/>
          <w:snapToGrid w:val="0"/>
          <w:color w:val="000000"/>
          <w:sz w:val="32"/>
          <w:szCs w:val="32"/>
        </w:rPr>
        <w:t>1</w:t>
      </w:r>
      <w:r>
        <w:rPr>
          <w:rFonts w:eastAsia="仿宋_GB2312" w:hint="eastAsia"/>
          <w:snapToGrid w:val="0"/>
          <w:color w:val="000000"/>
          <w:sz w:val="32"/>
          <w:szCs w:val="32"/>
        </w:rPr>
        <w:t>万元以上</w:t>
      </w:r>
      <w:r>
        <w:rPr>
          <w:rFonts w:eastAsia="仿宋_GB2312"/>
          <w:snapToGrid w:val="0"/>
          <w:color w:val="000000"/>
          <w:sz w:val="32"/>
          <w:szCs w:val="32"/>
        </w:rPr>
        <w:t>10</w:t>
      </w:r>
      <w:r>
        <w:rPr>
          <w:rFonts w:eastAsia="仿宋_GB2312" w:hint="eastAsia"/>
          <w:snapToGrid w:val="0"/>
          <w:color w:val="000000"/>
          <w:sz w:val="32"/>
          <w:szCs w:val="32"/>
        </w:rPr>
        <w:t>万元以下罚款；拒不改正的，责令停工整治。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第四十三条</w:t>
      </w:r>
      <w:r>
        <w:rPr>
          <w:rFonts w:eastAsia="仿宋_GB2312"/>
          <w:snapToGrid w:val="0"/>
          <w:color w:val="000000"/>
          <w:sz w:val="32"/>
          <w:szCs w:val="32"/>
        </w:rPr>
        <w:t xml:space="preserve">  </w:t>
      </w:r>
      <w:r>
        <w:rPr>
          <w:rFonts w:eastAsia="仿宋_GB2312" w:hint="eastAsia"/>
          <w:snapToGrid w:val="0"/>
          <w:color w:val="000000"/>
          <w:sz w:val="32"/>
          <w:szCs w:val="32"/>
        </w:rPr>
        <w:t>违反本条例第二十九条、第三十条规定，擅自占用城镇绿地、临时占用绿地超出报批时限或者改变绿地性质到期未还建的，由县（市、区）绿化行政管理部门责令限期改正；逾期不改的，按照有关法律、法规的规定予以处罚；造成损失的，依法承担赔偿责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第四十四条</w:t>
      </w:r>
      <w:r>
        <w:rPr>
          <w:rFonts w:eastAsia="仿宋_GB2312"/>
          <w:snapToGrid w:val="0"/>
          <w:color w:val="000000"/>
          <w:sz w:val="32"/>
          <w:szCs w:val="32"/>
        </w:rPr>
        <w:t xml:space="preserve">  </w:t>
      </w:r>
      <w:r>
        <w:rPr>
          <w:rFonts w:eastAsia="仿宋_GB2312" w:hint="eastAsia"/>
          <w:snapToGrid w:val="0"/>
          <w:color w:val="000000"/>
          <w:sz w:val="32"/>
          <w:szCs w:val="32"/>
        </w:rPr>
        <w:t>违反本条例第三十二条第一款规定，擅自砍伐、移植树木的，由县（市、区）绿化行政管理部门责令停止违法行为，按照有关法律、法规的规定予以处罚；造成损失的，依法承担赔偿责任；构成犯罪的，依法追究刑事责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第四十五条</w:t>
      </w:r>
      <w:r>
        <w:rPr>
          <w:rFonts w:eastAsia="仿宋_GB2312"/>
          <w:snapToGrid w:val="0"/>
          <w:color w:val="000000"/>
          <w:sz w:val="32"/>
          <w:szCs w:val="32"/>
        </w:rPr>
        <w:t xml:space="preserve">  </w:t>
      </w:r>
      <w:r>
        <w:rPr>
          <w:rFonts w:eastAsia="仿宋_GB2312" w:hint="eastAsia"/>
          <w:snapToGrid w:val="0"/>
          <w:color w:val="000000"/>
          <w:sz w:val="32"/>
          <w:szCs w:val="32"/>
        </w:rPr>
        <w:t>违反本条例第三十四条规定，擅自砍伐、移植古树名木及古树后续资源或者因其他人为因素致使古树名木受到损坏或者死亡的，由县（市、区）绿化行政管理部门责令停止侵害，处以树木评估价格五倍罚款；应当给予治安管理处罚的，依照《中华人民共和国治安管理处罚法》的有关规定处罚；构成犯罪的，依法追究刑事责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第四十六条</w:t>
      </w:r>
      <w:r>
        <w:rPr>
          <w:rFonts w:eastAsia="仿宋_GB2312"/>
          <w:snapToGrid w:val="0"/>
          <w:color w:val="000000"/>
          <w:sz w:val="32"/>
          <w:szCs w:val="32"/>
        </w:rPr>
        <w:t xml:space="preserve">  </w:t>
      </w:r>
      <w:r>
        <w:rPr>
          <w:rFonts w:eastAsia="仿宋_GB2312" w:hint="eastAsia"/>
          <w:snapToGrid w:val="0"/>
          <w:color w:val="000000"/>
          <w:sz w:val="32"/>
          <w:szCs w:val="32"/>
        </w:rPr>
        <w:t>违反本条例第三十五条第一项、第二项规定的，由县（市、区）绿化行政管理部门责令停止违法行为，可以并处</w:t>
      </w:r>
      <w:r>
        <w:rPr>
          <w:rFonts w:eastAsia="仿宋_GB2312"/>
          <w:snapToGrid w:val="0"/>
          <w:color w:val="000000"/>
          <w:sz w:val="32"/>
          <w:szCs w:val="32"/>
        </w:rPr>
        <w:t>200</w:t>
      </w:r>
      <w:r>
        <w:rPr>
          <w:rFonts w:eastAsia="仿宋_GB2312" w:hint="eastAsia"/>
          <w:snapToGrid w:val="0"/>
          <w:color w:val="000000"/>
          <w:sz w:val="32"/>
          <w:szCs w:val="32"/>
        </w:rPr>
        <w:t>元以上</w:t>
      </w:r>
      <w:r>
        <w:rPr>
          <w:rFonts w:eastAsia="仿宋_GB2312"/>
          <w:snapToGrid w:val="0"/>
          <w:color w:val="000000"/>
          <w:sz w:val="32"/>
          <w:szCs w:val="32"/>
        </w:rPr>
        <w:t>1000</w:t>
      </w:r>
      <w:r>
        <w:rPr>
          <w:rFonts w:eastAsia="仿宋_GB2312" w:hint="eastAsia"/>
          <w:snapToGrid w:val="0"/>
          <w:color w:val="000000"/>
          <w:sz w:val="32"/>
          <w:szCs w:val="32"/>
        </w:rPr>
        <w:t>元以下罚款；造成损失的，依法承担赔偿责任。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eastAsia="仿宋_GB2312" w:hint="eastAsia"/>
          <w:snapToGrid w:val="0"/>
          <w:color w:val="000000"/>
          <w:sz w:val="32"/>
          <w:szCs w:val="32"/>
        </w:rPr>
        <w:t>违反本条例第三十五条第三项至第七项规定的，由县（市、区）绿化行政管理部门责令限期改正；逾期不改的，处以</w:t>
      </w:r>
      <w:r>
        <w:rPr>
          <w:rFonts w:eastAsia="仿宋_GB2312"/>
          <w:snapToGrid w:val="0"/>
          <w:color w:val="000000"/>
          <w:sz w:val="32"/>
          <w:szCs w:val="32"/>
        </w:rPr>
        <w:t>500</w:t>
      </w:r>
      <w:r>
        <w:rPr>
          <w:rFonts w:eastAsia="仿宋_GB2312" w:hint="eastAsia"/>
          <w:snapToGrid w:val="0"/>
          <w:color w:val="000000"/>
          <w:sz w:val="32"/>
          <w:szCs w:val="32"/>
        </w:rPr>
        <w:t>元以上</w:t>
      </w:r>
      <w:r>
        <w:rPr>
          <w:rFonts w:eastAsia="仿宋_GB2312"/>
          <w:snapToGrid w:val="0"/>
          <w:color w:val="000000"/>
          <w:sz w:val="32"/>
          <w:szCs w:val="32"/>
        </w:rPr>
        <w:t>1000</w:t>
      </w:r>
      <w:r>
        <w:rPr>
          <w:rFonts w:eastAsia="仿宋_GB2312" w:hint="eastAsia"/>
          <w:snapToGrid w:val="0"/>
          <w:color w:val="000000"/>
          <w:sz w:val="32"/>
          <w:szCs w:val="32"/>
        </w:rPr>
        <w:t>元以下罚款；造成损失的，依法承担赔偿责任。</w:t>
      </w:r>
    </w:p>
    <w:p w:rsidR="005366A1" w:rsidRDefault="005366A1" w:rsidP="008833B0">
      <w:pPr>
        <w:topLinePunct/>
        <w:adjustRightInd w:val="0"/>
        <w:snapToGrid w:val="0"/>
        <w:spacing w:line="592" w:lineRule="exact"/>
        <w:ind w:firstLineChars="200" w:firstLine="31680"/>
        <w:rPr>
          <w:rFonts w:eastAsia="仿宋_GB2312"/>
          <w:snapToGrid w:val="0"/>
          <w:color w:val="000000"/>
          <w:sz w:val="32"/>
          <w:szCs w:val="32"/>
        </w:rPr>
      </w:pPr>
      <w:r>
        <w:rPr>
          <w:rFonts w:ascii="黑体" w:eastAsia="黑体" w:hAnsi="黑体" w:hint="eastAsia"/>
          <w:snapToGrid w:val="0"/>
          <w:color w:val="000000"/>
          <w:sz w:val="32"/>
          <w:szCs w:val="32"/>
        </w:rPr>
        <w:t>第四十七条</w:t>
      </w:r>
      <w:r>
        <w:rPr>
          <w:rFonts w:eastAsia="仿宋_GB2312"/>
          <w:snapToGrid w:val="0"/>
          <w:color w:val="000000"/>
          <w:sz w:val="32"/>
          <w:szCs w:val="32"/>
        </w:rPr>
        <w:t xml:space="preserve">  </w:t>
      </w:r>
      <w:r>
        <w:rPr>
          <w:rFonts w:eastAsia="仿宋_GB2312" w:hint="eastAsia"/>
          <w:snapToGrid w:val="0"/>
          <w:color w:val="000000"/>
          <w:sz w:val="32"/>
          <w:szCs w:val="32"/>
        </w:rPr>
        <w:t>国家机关及其工作人员在城镇绿化管理工作中，滥用职权、玩忽职守、徇私舞弊的，依法给予处分；构成犯罪的，依法追究刑事责任。</w:t>
      </w:r>
    </w:p>
    <w:p w:rsidR="005366A1" w:rsidRDefault="005366A1">
      <w:pPr>
        <w:topLinePunct/>
        <w:adjustRightInd w:val="0"/>
        <w:snapToGrid w:val="0"/>
        <w:spacing w:line="592" w:lineRule="exact"/>
        <w:rPr>
          <w:rFonts w:eastAsia="仿宋_GB2312"/>
          <w:snapToGrid w:val="0"/>
          <w:color w:val="000000"/>
          <w:sz w:val="32"/>
          <w:szCs w:val="32"/>
        </w:rPr>
      </w:pPr>
    </w:p>
    <w:p w:rsidR="005366A1" w:rsidRDefault="005366A1">
      <w:pPr>
        <w:topLinePunct/>
        <w:adjustRightInd w:val="0"/>
        <w:snapToGrid w:val="0"/>
        <w:spacing w:line="592" w:lineRule="exact"/>
        <w:jc w:val="center"/>
        <w:rPr>
          <w:rFonts w:ascii="黑体" w:eastAsia="黑体" w:hAnsi="黑体"/>
          <w:snapToGrid w:val="0"/>
          <w:color w:val="000000"/>
          <w:sz w:val="32"/>
          <w:szCs w:val="32"/>
        </w:rPr>
      </w:pPr>
      <w:r>
        <w:rPr>
          <w:rFonts w:ascii="黑体" w:eastAsia="黑体" w:hAnsi="黑体" w:hint="eastAsia"/>
          <w:snapToGrid w:val="0"/>
          <w:color w:val="000000"/>
          <w:sz w:val="32"/>
          <w:szCs w:val="32"/>
        </w:rPr>
        <w:t>第六章</w:t>
      </w:r>
      <w:r>
        <w:rPr>
          <w:rFonts w:eastAsia="仿宋_GB2312"/>
          <w:snapToGrid w:val="0"/>
          <w:color w:val="000000"/>
          <w:sz w:val="32"/>
          <w:szCs w:val="32"/>
        </w:rPr>
        <w:t xml:space="preserve">  </w:t>
      </w:r>
      <w:r>
        <w:rPr>
          <w:rFonts w:ascii="黑体" w:eastAsia="黑体" w:hAnsi="黑体" w:hint="eastAsia"/>
          <w:snapToGrid w:val="0"/>
          <w:color w:val="000000"/>
          <w:sz w:val="32"/>
          <w:szCs w:val="32"/>
        </w:rPr>
        <w:t>附</w:t>
      </w:r>
      <w:r>
        <w:rPr>
          <w:rFonts w:eastAsia="仿宋_GB2312"/>
          <w:snapToGrid w:val="0"/>
          <w:color w:val="000000"/>
          <w:sz w:val="32"/>
          <w:szCs w:val="32"/>
        </w:rPr>
        <w:t xml:space="preserve">  </w:t>
      </w:r>
      <w:r>
        <w:rPr>
          <w:rFonts w:ascii="黑体" w:eastAsia="黑体" w:hAnsi="黑体" w:hint="eastAsia"/>
          <w:snapToGrid w:val="0"/>
          <w:color w:val="000000"/>
          <w:sz w:val="32"/>
          <w:szCs w:val="32"/>
        </w:rPr>
        <w:t>则</w:t>
      </w:r>
    </w:p>
    <w:p w:rsidR="005366A1" w:rsidRDefault="005366A1">
      <w:pPr>
        <w:topLinePunct/>
        <w:adjustRightInd w:val="0"/>
        <w:snapToGrid w:val="0"/>
        <w:spacing w:line="592" w:lineRule="exact"/>
        <w:rPr>
          <w:rFonts w:eastAsia="仿宋_GB2312"/>
          <w:snapToGrid w:val="0"/>
          <w:color w:val="000000"/>
          <w:sz w:val="32"/>
          <w:szCs w:val="32"/>
        </w:rPr>
      </w:pPr>
    </w:p>
    <w:p w:rsidR="005366A1" w:rsidRPr="001B5995" w:rsidRDefault="005366A1" w:rsidP="001B5995">
      <w:pPr>
        <w:topLinePunct/>
        <w:adjustRightInd w:val="0"/>
        <w:snapToGrid w:val="0"/>
        <w:spacing w:line="592" w:lineRule="exact"/>
        <w:ind w:firstLineChars="200" w:firstLine="31680"/>
        <w:rPr>
          <w:rFonts w:ascii="仿宋_GB2312" w:eastAsia="仿宋_GB2312"/>
          <w:snapToGrid w:val="0"/>
          <w:sz w:val="32"/>
          <w:szCs w:val="32"/>
        </w:rPr>
      </w:pPr>
      <w:r w:rsidRPr="001B5995">
        <w:rPr>
          <w:rFonts w:ascii="黑体" w:eastAsia="黑体" w:hAnsi="黑体" w:hint="eastAsia"/>
          <w:snapToGrid w:val="0"/>
          <w:sz w:val="32"/>
          <w:szCs w:val="32"/>
        </w:rPr>
        <w:t>第四十八条</w:t>
      </w:r>
      <w:r w:rsidRPr="001B5995">
        <w:rPr>
          <w:snapToGrid w:val="0"/>
          <w:sz w:val="32"/>
          <w:szCs w:val="32"/>
        </w:rPr>
        <w:t xml:space="preserve">  </w:t>
      </w:r>
      <w:r w:rsidRPr="001B5995">
        <w:rPr>
          <w:rFonts w:eastAsia="仿宋_GB2312" w:hint="eastAsia"/>
          <w:snapToGrid w:val="0"/>
          <w:sz w:val="32"/>
          <w:szCs w:val="32"/>
        </w:rPr>
        <w:t>本条例自</w:t>
      </w:r>
      <w:r w:rsidRPr="001B5995">
        <w:rPr>
          <w:rFonts w:eastAsia="仿宋_GB2312"/>
          <w:snapToGrid w:val="0"/>
          <w:sz w:val="32"/>
          <w:szCs w:val="32"/>
        </w:rPr>
        <w:t>2019</w:t>
      </w:r>
      <w:r w:rsidRPr="001B5995">
        <w:rPr>
          <w:rFonts w:eastAsia="仿宋_GB2312" w:hint="eastAsia"/>
          <w:snapToGrid w:val="0"/>
          <w:sz w:val="32"/>
          <w:szCs w:val="32"/>
        </w:rPr>
        <w:t>年</w:t>
      </w:r>
      <w:r w:rsidRPr="001B5995">
        <w:rPr>
          <w:rFonts w:eastAsia="仿宋_GB2312"/>
          <w:snapToGrid w:val="0"/>
          <w:sz w:val="32"/>
          <w:szCs w:val="32"/>
        </w:rPr>
        <w:t>8</w:t>
      </w:r>
      <w:r w:rsidRPr="001B5995">
        <w:rPr>
          <w:rFonts w:eastAsia="仿宋_GB2312" w:hint="eastAsia"/>
          <w:snapToGrid w:val="0"/>
          <w:sz w:val="32"/>
          <w:szCs w:val="32"/>
        </w:rPr>
        <w:t>月</w:t>
      </w:r>
      <w:r w:rsidRPr="001B5995">
        <w:rPr>
          <w:rFonts w:eastAsia="仿宋_GB2312"/>
          <w:snapToGrid w:val="0"/>
          <w:sz w:val="32"/>
          <w:szCs w:val="32"/>
        </w:rPr>
        <w:t>1</w:t>
      </w:r>
      <w:r w:rsidRPr="001B5995">
        <w:rPr>
          <w:rFonts w:eastAsia="仿宋_GB2312" w:hint="eastAsia"/>
          <w:snapToGrid w:val="0"/>
          <w:sz w:val="32"/>
          <w:szCs w:val="32"/>
        </w:rPr>
        <w:t>日起施行。</w:t>
      </w:r>
      <w:r w:rsidRPr="001B5995">
        <w:rPr>
          <w:rFonts w:eastAsia="仿宋_GB2312"/>
          <w:snapToGrid w:val="0"/>
          <w:sz w:val="32"/>
          <w:szCs w:val="32"/>
        </w:rPr>
        <w:t>2011</w:t>
      </w:r>
      <w:r w:rsidRPr="001B5995">
        <w:rPr>
          <w:rFonts w:eastAsia="仿宋_GB2312" w:hint="eastAsia"/>
          <w:snapToGrid w:val="0"/>
          <w:sz w:val="32"/>
          <w:szCs w:val="32"/>
        </w:rPr>
        <w:t>年</w:t>
      </w:r>
      <w:r w:rsidRPr="001B5995">
        <w:rPr>
          <w:rFonts w:eastAsia="仿宋_GB2312"/>
          <w:snapToGrid w:val="0"/>
          <w:sz w:val="32"/>
          <w:szCs w:val="32"/>
        </w:rPr>
        <w:t>12</w:t>
      </w:r>
      <w:r w:rsidRPr="001B5995">
        <w:rPr>
          <w:rFonts w:eastAsia="仿宋_GB2312" w:hint="eastAsia"/>
          <w:snapToGrid w:val="0"/>
          <w:sz w:val="32"/>
          <w:szCs w:val="32"/>
        </w:rPr>
        <w:t>月</w:t>
      </w:r>
      <w:r w:rsidRPr="001B5995">
        <w:rPr>
          <w:rFonts w:eastAsia="仿宋_GB2312"/>
          <w:snapToGrid w:val="0"/>
          <w:sz w:val="32"/>
          <w:szCs w:val="32"/>
        </w:rPr>
        <w:t>16</w:t>
      </w:r>
      <w:r w:rsidRPr="001B5995">
        <w:rPr>
          <w:rFonts w:eastAsia="仿宋_GB2312" w:hint="eastAsia"/>
          <w:snapToGrid w:val="0"/>
          <w:sz w:val="32"/>
          <w:szCs w:val="32"/>
        </w:rPr>
        <w:t>日昆明市第十三届人民代表大会常务委员会第七次会议通过，</w:t>
      </w:r>
      <w:r w:rsidRPr="001B5995">
        <w:rPr>
          <w:rFonts w:eastAsia="仿宋_GB2312"/>
          <w:snapToGrid w:val="0"/>
          <w:sz w:val="32"/>
          <w:szCs w:val="32"/>
        </w:rPr>
        <w:t>2012</w:t>
      </w:r>
      <w:r w:rsidRPr="001B5995">
        <w:rPr>
          <w:rFonts w:eastAsia="仿宋_GB2312" w:hint="eastAsia"/>
          <w:snapToGrid w:val="0"/>
          <w:sz w:val="32"/>
          <w:szCs w:val="32"/>
        </w:rPr>
        <w:t>年</w:t>
      </w:r>
      <w:r w:rsidRPr="001B5995">
        <w:rPr>
          <w:rFonts w:eastAsia="仿宋_GB2312"/>
          <w:snapToGrid w:val="0"/>
          <w:sz w:val="32"/>
          <w:szCs w:val="32"/>
        </w:rPr>
        <w:t>3</w:t>
      </w:r>
      <w:r w:rsidRPr="001B5995">
        <w:rPr>
          <w:rFonts w:eastAsia="仿宋_GB2312" w:hint="eastAsia"/>
          <w:snapToGrid w:val="0"/>
          <w:sz w:val="32"/>
          <w:szCs w:val="32"/>
        </w:rPr>
        <w:t>月</w:t>
      </w:r>
      <w:r w:rsidRPr="001B5995">
        <w:rPr>
          <w:rFonts w:eastAsia="仿宋_GB2312"/>
          <w:snapToGrid w:val="0"/>
          <w:sz w:val="32"/>
          <w:szCs w:val="32"/>
        </w:rPr>
        <w:t>31</w:t>
      </w:r>
      <w:r w:rsidRPr="001B5995">
        <w:rPr>
          <w:rFonts w:eastAsia="仿宋_GB2312" w:hint="eastAsia"/>
          <w:snapToGrid w:val="0"/>
          <w:sz w:val="32"/>
          <w:szCs w:val="32"/>
        </w:rPr>
        <w:t>日云南省第十一届人民代表大会常务委员会第三十次会议批准的《昆明市城镇绿化条例》同时废止。</w:t>
      </w:r>
    </w:p>
    <w:sectPr w:rsidR="005366A1" w:rsidRPr="001B5995" w:rsidSect="00C576CE">
      <w:headerReference w:type="default" r:id="rId6"/>
      <w:footerReference w:type="even" r:id="rId7"/>
      <w:footerReference w:type="default" r:id="rId8"/>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6A1" w:rsidRDefault="005366A1">
      <w:r>
        <w:separator/>
      </w:r>
    </w:p>
  </w:endnote>
  <w:endnote w:type="continuationSeparator" w:id="1">
    <w:p w:rsidR="005366A1" w:rsidRDefault="00536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6A1" w:rsidRDefault="005366A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5366A1" w:rsidRDefault="005366A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6A1" w:rsidRDefault="005366A1">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5366A1" w:rsidRDefault="005366A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6A1" w:rsidRDefault="005366A1">
      <w:r>
        <w:separator/>
      </w:r>
    </w:p>
  </w:footnote>
  <w:footnote w:type="continuationSeparator" w:id="1">
    <w:p w:rsidR="005366A1" w:rsidRDefault="00536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6A1" w:rsidRDefault="005366A1">
    <w:pPr>
      <w:pStyle w:val="Header"/>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04"/>
    <w:rsid w:val="0010372B"/>
    <w:rsid w:val="00103EDF"/>
    <w:rsid w:val="001041AF"/>
    <w:rsid w:val="001050BA"/>
    <w:rsid w:val="00105433"/>
    <w:rsid w:val="001060C5"/>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995"/>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07D2F"/>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4F7967"/>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66A1"/>
    <w:rsid w:val="0053688C"/>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4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0009"/>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8E3"/>
    <w:rsid w:val="005D69A4"/>
    <w:rsid w:val="005D7425"/>
    <w:rsid w:val="005D7A47"/>
    <w:rsid w:val="005E06EF"/>
    <w:rsid w:val="005E096E"/>
    <w:rsid w:val="005E2138"/>
    <w:rsid w:val="005E28A4"/>
    <w:rsid w:val="005E3668"/>
    <w:rsid w:val="005E3F44"/>
    <w:rsid w:val="005E4426"/>
    <w:rsid w:val="005E4840"/>
    <w:rsid w:val="005E5172"/>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5A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3B0"/>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3CA"/>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723"/>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AC7"/>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2C"/>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1E25"/>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576CE"/>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40"/>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04D"/>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C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1060C5"/>
    <w:rPr>
      <w:rFonts w:ascii="黑体" w:eastAsia="黑体" w:hAnsi="Courier New"/>
      <w:snapToGrid w:val="0"/>
      <w:kern w:val="2"/>
      <w:sz w:val="32"/>
      <w:lang w:val="en-US" w:eastAsia="zh-CN"/>
    </w:rPr>
  </w:style>
  <w:style w:type="character" w:customStyle="1" w:styleId="ca-01">
    <w:name w:val="ca-01"/>
    <w:uiPriority w:val="99"/>
    <w:rsid w:val="001060C5"/>
    <w:rPr>
      <w:rFonts w:ascii="Times New Roman"/>
      <w:b/>
      <w:color w:val="000000"/>
      <w:spacing w:val="-20"/>
      <w:sz w:val="44"/>
    </w:rPr>
  </w:style>
  <w:style w:type="character" w:customStyle="1" w:styleId="ca-41">
    <w:name w:val="ca-41"/>
    <w:uiPriority w:val="99"/>
    <w:rsid w:val="001060C5"/>
    <w:rPr>
      <w:rFonts w:ascii="??_GB2312" w:eastAsia="Times New Roman"/>
      <w:color w:val="000000"/>
      <w:sz w:val="32"/>
    </w:rPr>
  </w:style>
  <w:style w:type="character" w:customStyle="1" w:styleId="CharChar">
    <w:name w:val="Char Char"/>
    <w:uiPriority w:val="99"/>
    <w:rsid w:val="001060C5"/>
    <w:rPr>
      <w:rFonts w:ascii="宋体" w:eastAsia="宋体" w:hAnsi="Courier New"/>
      <w:kern w:val="2"/>
      <w:sz w:val="21"/>
      <w:lang w:val="en-US" w:eastAsia="zh-CN"/>
    </w:rPr>
  </w:style>
  <w:style w:type="character" w:customStyle="1" w:styleId="Char">
    <w:name w:val="纯文本 Char"/>
    <w:uiPriority w:val="99"/>
    <w:rsid w:val="001060C5"/>
    <w:rPr>
      <w:rFonts w:ascii="宋体" w:eastAsia="宋体" w:hAnsi="Courier New"/>
      <w:kern w:val="2"/>
      <w:sz w:val="21"/>
      <w:lang w:val="en-US" w:eastAsia="zh-CN"/>
    </w:rPr>
  </w:style>
  <w:style w:type="character" w:customStyle="1" w:styleId="2Char">
    <w:name w:val="样式2 Char"/>
    <w:link w:val="2"/>
    <w:uiPriority w:val="99"/>
    <w:locked/>
    <w:rsid w:val="001060C5"/>
    <w:rPr>
      <w:rFonts w:ascii="楷体_GB2312" w:eastAsia="楷体_GB2312" w:hAnsi="Courier New"/>
      <w:snapToGrid w:val="0"/>
      <w:kern w:val="2"/>
      <w:sz w:val="32"/>
      <w:lang w:val="en-US" w:eastAsia="zh-CN"/>
    </w:rPr>
  </w:style>
  <w:style w:type="character" w:customStyle="1" w:styleId="ca-11">
    <w:name w:val="ca-11"/>
    <w:uiPriority w:val="99"/>
    <w:rsid w:val="001060C5"/>
    <w:rPr>
      <w:rFonts w:ascii="??" w:eastAsia="Times New Roman"/>
      <w:b/>
      <w:color w:val="000000"/>
      <w:spacing w:val="-20"/>
      <w:sz w:val="44"/>
    </w:rPr>
  </w:style>
  <w:style w:type="character" w:customStyle="1" w:styleId="CharChar1">
    <w:name w:val="Char Char1"/>
    <w:uiPriority w:val="99"/>
    <w:locked/>
    <w:rsid w:val="001060C5"/>
    <w:rPr>
      <w:rFonts w:ascii="宋体" w:eastAsia="宋体" w:hAnsi="Courier New"/>
      <w:kern w:val="2"/>
      <w:sz w:val="21"/>
      <w:lang w:val="en-US" w:eastAsia="zh-CN"/>
    </w:rPr>
  </w:style>
  <w:style w:type="character" w:styleId="Strong">
    <w:name w:val="Strong"/>
    <w:basedOn w:val="DefaultParagraphFont"/>
    <w:uiPriority w:val="99"/>
    <w:qFormat/>
    <w:rsid w:val="001060C5"/>
    <w:rPr>
      <w:rFonts w:eastAsia="仿宋_GB2312" w:cs="Times New Roman"/>
      <w:sz w:val="32"/>
    </w:rPr>
  </w:style>
  <w:style w:type="character" w:customStyle="1" w:styleId="1Char">
    <w:name w:val="样式1 Char"/>
    <w:uiPriority w:val="99"/>
    <w:rsid w:val="001060C5"/>
    <w:rPr>
      <w:rFonts w:ascii="黑体" w:eastAsia="黑体" w:hAnsi="Courier New"/>
      <w:snapToGrid w:val="0"/>
      <w:kern w:val="2"/>
      <w:sz w:val="32"/>
      <w:lang w:val="en-US" w:eastAsia="zh-CN"/>
    </w:rPr>
  </w:style>
  <w:style w:type="character" w:customStyle="1" w:styleId="PlainTextChar1">
    <w:name w:val="Plain Text Char1"/>
    <w:link w:val="PlainText"/>
    <w:uiPriority w:val="99"/>
    <w:locked/>
    <w:rsid w:val="001060C5"/>
    <w:rPr>
      <w:rFonts w:ascii="宋体" w:eastAsia="宋体" w:hAnsi="Courier New"/>
      <w:kern w:val="2"/>
      <w:sz w:val="21"/>
      <w:lang w:val="en-US" w:eastAsia="zh-CN"/>
    </w:rPr>
  </w:style>
  <w:style w:type="character" w:customStyle="1" w:styleId="BodyTextChar1">
    <w:name w:val="Body Text Char1"/>
    <w:link w:val="BodyText"/>
    <w:uiPriority w:val="99"/>
    <w:locked/>
    <w:rsid w:val="001060C5"/>
    <w:rPr>
      <w:rFonts w:eastAsia="华文中宋"/>
      <w:kern w:val="2"/>
      <w:sz w:val="24"/>
      <w:lang w:val="en-US" w:eastAsia="zh-CN"/>
    </w:rPr>
  </w:style>
  <w:style w:type="character" w:customStyle="1" w:styleId="apple-converted-space">
    <w:name w:val="apple-converted-space"/>
    <w:basedOn w:val="DefaultParagraphFont"/>
    <w:uiPriority w:val="99"/>
    <w:rsid w:val="001060C5"/>
    <w:rPr>
      <w:rFonts w:cs="Times New Roman"/>
    </w:rPr>
  </w:style>
  <w:style w:type="character" w:styleId="Hyperlink">
    <w:name w:val="Hyperlink"/>
    <w:basedOn w:val="DefaultParagraphFont"/>
    <w:uiPriority w:val="99"/>
    <w:rsid w:val="001060C5"/>
    <w:rPr>
      <w:rFonts w:cs="Times New Roman"/>
      <w:color w:val="0000FF"/>
      <w:u w:val="single"/>
    </w:rPr>
  </w:style>
  <w:style w:type="character" w:styleId="PageNumber">
    <w:name w:val="page number"/>
    <w:basedOn w:val="DefaultParagraphFont"/>
    <w:uiPriority w:val="99"/>
    <w:rsid w:val="001060C5"/>
    <w:rPr>
      <w:rFonts w:cs="Times New Roman"/>
    </w:rPr>
  </w:style>
  <w:style w:type="character" w:customStyle="1" w:styleId="CharChar2">
    <w:name w:val="Char Char2"/>
    <w:uiPriority w:val="99"/>
    <w:rsid w:val="001060C5"/>
    <w:rPr>
      <w:rFonts w:ascii="黑体" w:eastAsia="黑体"/>
      <w:sz w:val="24"/>
      <w:lang w:val="en-US" w:eastAsia="zh-CN"/>
    </w:rPr>
  </w:style>
  <w:style w:type="character" w:customStyle="1" w:styleId="TitleChar1">
    <w:name w:val="Title Char1"/>
    <w:link w:val="Title"/>
    <w:uiPriority w:val="99"/>
    <w:locked/>
    <w:rsid w:val="001060C5"/>
    <w:rPr>
      <w:rFonts w:ascii="Cambria" w:eastAsia="宋体" w:hAnsi="Cambria"/>
      <w:b/>
      <w:sz w:val="32"/>
    </w:rPr>
  </w:style>
  <w:style w:type="paragraph" w:customStyle="1" w:styleId="NewNew">
    <w:name w:val="正文 New New"/>
    <w:uiPriority w:val="99"/>
    <w:rsid w:val="001060C5"/>
    <w:pPr>
      <w:widowControl w:val="0"/>
      <w:jc w:val="both"/>
    </w:pPr>
    <w:rPr>
      <w:rFonts w:ascii="Calibri" w:hAnsi="Calibri"/>
    </w:rPr>
  </w:style>
  <w:style w:type="paragraph" w:customStyle="1" w:styleId="content-parag">
    <w:name w:val="content-parag"/>
    <w:basedOn w:val="Normal"/>
    <w:uiPriority w:val="99"/>
    <w:rsid w:val="001060C5"/>
    <w:pPr>
      <w:widowControl/>
      <w:spacing w:before="100" w:beforeAutospacing="1" w:after="100" w:afterAutospacing="1"/>
      <w:jc w:val="left"/>
    </w:pPr>
    <w:rPr>
      <w:rFonts w:ascii="宋体" w:hAnsi="宋体"/>
      <w:kern w:val="0"/>
      <w:sz w:val="24"/>
    </w:rPr>
  </w:style>
  <w:style w:type="paragraph" w:styleId="Date">
    <w:name w:val="Date"/>
    <w:basedOn w:val="Normal"/>
    <w:next w:val="Normal"/>
    <w:link w:val="DateChar"/>
    <w:uiPriority w:val="99"/>
    <w:rsid w:val="001060C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407D2F"/>
    <w:rPr>
      <w:rFonts w:cs="Times New Roman"/>
      <w:sz w:val="24"/>
      <w:szCs w:val="24"/>
    </w:rPr>
  </w:style>
  <w:style w:type="paragraph" w:styleId="List">
    <w:name w:val="List"/>
    <w:basedOn w:val="Normal"/>
    <w:uiPriority w:val="99"/>
    <w:rsid w:val="001060C5"/>
    <w:pPr>
      <w:ind w:left="200" w:hangingChars="200" w:hanging="200"/>
    </w:pPr>
  </w:style>
  <w:style w:type="paragraph" w:customStyle="1" w:styleId="Char0">
    <w:name w:val="Char"/>
    <w:basedOn w:val="Normal"/>
    <w:uiPriority w:val="99"/>
    <w:semiHidden/>
    <w:rsid w:val="001060C5"/>
  </w:style>
  <w:style w:type="paragraph" w:customStyle="1" w:styleId="reader-word-layerreader-word-s1-2">
    <w:name w:val="reader-word-layer reader-word-s1-2"/>
    <w:basedOn w:val="Normal"/>
    <w:uiPriority w:val="99"/>
    <w:rsid w:val="001060C5"/>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1060C5"/>
    <w:pPr>
      <w:widowControl w:val="0"/>
      <w:jc w:val="both"/>
    </w:pPr>
    <w:rPr>
      <w:rFonts w:ascii="Calibri" w:eastAsia="方正仿宋_GBK" w:hAnsi="Calibri"/>
      <w:sz w:val="32"/>
      <w:szCs w:val="24"/>
    </w:rPr>
  </w:style>
  <w:style w:type="paragraph" w:styleId="NormalWeb">
    <w:name w:val="Normal (Web)"/>
    <w:basedOn w:val="Normal"/>
    <w:uiPriority w:val="99"/>
    <w:rsid w:val="001060C5"/>
    <w:pPr>
      <w:widowControl/>
      <w:spacing w:before="100" w:beforeAutospacing="1" w:after="100" w:afterAutospacing="1"/>
      <w:jc w:val="left"/>
    </w:pPr>
    <w:rPr>
      <w:rFonts w:ascii="宋体" w:hAnsi="宋体"/>
      <w:kern w:val="0"/>
      <w:sz w:val="24"/>
    </w:rPr>
  </w:style>
  <w:style w:type="paragraph" w:styleId="Header">
    <w:name w:val="header"/>
    <w:basedOn w:val="Normal"/>
    <w:link w:val="HeaderChar"/>
    <w:uiPriority w:val="99"/>
    <w:rsid w:val="0010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07D2F"/>
    <w:rPr>
      <w:rFonts w:cs="Times New Roman"/>
      <w:sz w:val="18"/>
      <w:szCs w:val="18"/>
    </w:rPr>
  </w:style>
  <w:style w:type="paragraph" w:customStyle="1" w:styleId="Char1">
    <w:name w:val="Char1"/>
    <w:basedOn w:val="Normal"/>
    <w:uiPriority w:val="99"/>
    <w:semiHidden/>
    <w:rsid w:val="001060C5"/>
  </w:style>
  <w:style w:type="paragraph" w:customStyle="1" w:styleId="CharCharCharCharCharCharCharCharCharChar">
    <w:name w:val="Char Char Char Char Char Char Char Char Char Char"/>
    <w:basedOn w:val="Normal"/>
    <w:uiPriority w:val="99"/>
    <w:semiHidden/>
    <w:rsid w:val="001060C5"/>
  </w:style>
  <w:style w:type="paragraph" w:styleId="BodyTextIndent">
    <w:name w:val="Body Text Indent"/>
    <w:basedOn w:val="Normal"/>
    <w:link w:val="BodyTextIndentChar"/>
    <w:uiPriority w:val="99"/>
    <w:rsid w:val="001060C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407D2F"/>
    <w:rPr>
      <w:rFonts w:cs="Times New Roman"/>
      <w:sz w:val="24"/>
      <w:szCs w:val="24"/>
    </w:rPr>
  </w:style>
  <w:style w:type="paragraph" w:styleId="Footer">
    <w:name w:val="footer"/>
    <w:basedOn w:val="Normal"/>
    <w:link w:val="FooterChar"/>
    <w:uiPriority w:val="99"/>
    <w:rsid w:val="001060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07D2F"/>
    <w:rPr>
      <w:rFonts w:cs="Times New Roman"/>
      <w:sz w:val="18"/>
      <w:szCs w:val="18"/>
    </w:rPr>
  </w:style>
  <w:style w:type="paragraph" w:customStyle="1" w:styleId="CharCharChar">
    <w:name w:val="Char Char Char"/>
    <w:basedOn w:val="Normal"/>
    <w:uiPriority w:val="99"/>
    <w:rsid w:val="001060C5"/>
    <w:rPr>
      <w:rFonts w:eastAsia="仿宋_GB2312"/>
      <w:sz w:val="32"/>
      <w:szCs w:val="20"/>
    </w:rPr>
  </w:style>
  <w:style w:type="paragraph" w:customStyle="1" w:styleId="7">
    <w:name w:val="样式7"/>
    <w:basedOn w:val="Normal"/>
    <w:uiPriority w:val="99"/>
    <w:rsid w:val="001060C5"/>
    <w:pPr>
      <w:topLinePunct/>
      <w:adjustRightInd w:val="0"/>
      <w:snapToGrid w:val="0"/>
      <w:spacing w:line="592" w:lineRule="exact"/>
      <w:ind w:leftChars="200" w:left="420" w:rightChars="200" w:right="420"/>
    </w:pPr>
    <w:rPr>
      <w:rFonts w:eastAsia="楷体_GB2312"/>
      <w:color w:val="222222"/>
      <w:kern w:val="0"/>
      <w:sz w:val="32"/>
      <w:szCs w:val="32"/>
    </w:rPr>
  </w:style>
  <w:style w:type="paragraph" w:styleId="BodyText2">
    <w:name w:val="Body Text 2"/>
    <w:basedOn w:val="Normal"/>
    <w:link w:val="BodyText2Char"/>
    <w:uiPriority w:val="99"/>
    <w:rsid w:val="001060C5"/>
    <w:pPr>
      <w:spacing w:after="120" w:line="480" w:lineRule="auto"/>
    </w:pPr>
  </w:style>
  <w:style w:type="character" w:customStyle="1" w:styleId="BodyText2Char">
    <w:name w:val="Body Text 2 Char"/>
    <w:basedOn w:val="DefaultParagraphFont"/>
    <w:link w:val="BodyText2"/>
    <w:uiPriority w:val="99"/>
    <w:semiHidden/>
    <w:locked/>
    <w:rsid w:val="00407D2F"/>
    <w:rPr>
      <w:rFonts w:cs="Times New Roman"/>
      <w:sz w:val="24"/>
      <w:szCs w:val="24"/>
    </w:rPr>
  </w:style>
  <w:style w:type="paragraph" w:styleId="TOAHeading">
    <w:name w:val="toa heading"/>
    <w:basedOn w:val="Normal"/>
    <w:next w:val="Normal"/>
    <w:uiPriority w:val="99"/>
    <w:rsid w:val="001060C5"/>
    <w:pPr>
      <w:spacing w:before="120"/>
    </w:pPr>
    <w:rPr>
      <w:rFonts w:ascii="Arial" w:eastAsia="仿宋_GB2312" w:hAnsi="Arial" w:cs="Arial"/>
      <w:sz w:val="24"/>
    </w:rPr>
  </w:style>
  <w:style w:type="paragraph" w:styleId="PlainText">
    <w:name w:val="Plain Text"/>
    <w:basedOn w:val="Normal"/>
    <w:link w:val="PlainTextChar1"/>
    <w:uiPriority w:val="99"/>
    <w:rsid w:val="001060C5"/>
    <w:rPr>
      <w:rFonts w:ascii="宋体" w:hAnsi="Courier New"/>
      <w:szCs w:val="20"/>
    </w:rPr>
  </w:style>
  <w:style w:type="character" w:customStyle="1" w:styleId="PlainTextChar">
    <w:name w:val="Plain Text Char"/>
    <w:basedOn w:val="DefaultParagraphFont"/>
    <w:link w:val="PlainText"/>
    <w:uiPriority w:val="99"/>
    <w:semiHidden/>
    <w:locked/>
    <w:rsid w:val="00407D2F"/>
    <w:rPr>
      <w:rFonts w:ascii="宋体" w:hAnsi="Courier New" w:cs="Courier New"/>
      <w:sz w:val="21"/>
      <w:szCs w:val="21"/>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060C5"/>
    <w:pPr>
      <w:widowControl w:val="0"/>
      <w:jc w:val="both"/>
    </w:pPr>
    <w:rPr>
      <w:szCs w:val="24"/>
    </w:rPr>
  </w:style>
  <w:style w:type="paragraph" w:customStyle="1" w:styleId="a">
    <w:name w:val="列出段落"/>
    <w:basedOn w:val="Normal"/>
    <w:uiPriority w:val="99"/>
    <w:rsid w:val="001060C5"/>
    <w:pPr>
      <w:ind w:firstLineChars="200" w:firstLine="420"/>
    </w:pPr>
  </w:style>
  <w:style w:type="paragraph" w:customStyle="1" w:styleId="NewNewNewNewNewNewNew">
    <w:name w:val="正文 New New New New New New New"/>
    <w:uiPriority w:val="99"/>
    <w:rsid w:val="001060C5"/>
    <w:pPr>
      <w:widowControl w:val="0"/>
      <w:jc w:val="both"/>
    </w:pPr>
    <w:rPr>
      <w:szCs w:val="24"/>
    </w:rPr>
  </w:style>
  <w:style w:type="paragraph" w:styleId="BodyText">
    <w:name w:val="Body Text"/>
    <w:basedOn w:val="Normal"/>
    <w:link w:val="BodyTextChar1"/>
    <w:uiPriority w:val="99"/>
    <w:rsid w:val="001060C5"/>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407D2F"/>
    <w:rPr>
      <w:rFonts w:cs="Times New Roman"/>
      <w:sz w:val="24"/>
      <w:szCs w:val="24"/>
    </w:rPr>
  </w:style>
  <w:style w:type="paragraph" w:customStyle="1" w:styleId="5">
    <w:name w:val="样式5"/>
    <w:basedOn w:val="1"/>
    <w:uiPriority w:val="99"/>
    <w:rsid w:val="001060C5"/>
    <w:pPr>
      <w:ind w:firstLineChars="0" w:firstLine="0"/>
      <w:jc w:val="center"/>
    </w:pPr>
  </w:style>
  <w:style w:type="paragraph" w:customStyle="1" w:styleId="CharCharCharChar">
    <w:name w:val="Char Char Char Char"/>
    <w:basedOn w:val="Normal"/>
    <w:uiPriority w:val="99"/>
    <w:semiHidden/>
    <w:rsid w:val="001060C5"/>
  </w:style>
  <w:style w:type="paragraph" w:customStyle="1" w:styleId="p0">
    <w:name w:val="p0"/>
    <w:basedOn w:val="Normal"/>
    <w:uiPriority w:val="99"/>
    <w:rsid w:val="001060C5"/>
    <w:pPr>
      <w:widowControl/>
      <w:spacing w:line="365" w:lineRule="atLeast"/>
      <w:ind w:left="1"/>
      <w:textAlignment w:val="bottom"/>
    </w:pPr>
    <w:rPr>
      <w:kern w:val="0"/>
      <w:sz w:val="20"/>
      <w:szCs w:val="20"/>
    </w:rPr>
  </w:style>
  <w:style w:type="paragraph" w:customStyle="1" w:styleId="3">
    <w:name w:val="样式3"/>
    <w:basedOn w:val="Normal"/>
    <w:uiPriority w:val="99"/>
    <w:rsid w:val="001060C5"/>
    <w:pPr>
      <w:topLinePunct/>
      <w:adjustRightInd w:val="0"/>
      <w:snapToGrid w:val="0"/>
      <w:spacing w:line="592" w:lineRule="exact"/>
      <w:jc w:val="center"/>
    </w:pPr>
    <w:rPr>
      <w:rFonts w:ascii="宋体" w:hAnsi="宋体"/>
      <w:sz w:val="44"/>
      <w:szCs w:val="44"/>
    </w:rPr>
  </w:style>
  <w:style w:type="paragraph" w:customStyle="1" w:styleId="New">
    <w:name w:val="正文 New"/>
    <w:uiPriority w:val="99"/>
    <w:rsid w:val="001060C5"/>
    <w:pPr>
      <w:widowControl w:val="0"/>
      <w:jc w:val="both"/>
    </w:pPr>
  </w:style>
  <w:style w:type="paragraph" w:styleId="Title">
    <w:name w:val="Title"/>
    <w:basedOn w:val="Normal"/>
    <w:next w:val="Normal"/>
    <w:link w:val="TitleChar1"/>
    <w:uiPriority w:val="99"/>
    <w:qFormat/>
    <w:rsid w:val="001060C5"/>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407D2F"/>
    <w:rPr>
      <w:rFonts w:ascii="Cambria" w:hAnsi="Cambria" w:cs="Times New Roman"/>
      <w:b/>
      <w:bCs/>
      <w:sz w:val="32"/>
      <w:szCs w:val="32"/>
    </w:rPr>
  </w:style>
  <w:style w:type="paragraph" w:customStyle="1" w:styleId="CharCharCharCharCharCharChar">
    <w:name w:val="Char Char Char Char Char Char Char"/>
    <w:basedOn w:val="Normal"/>
    <w:uiPriority w:val="99"/>
    <w:semiHidden/>
    <w:rsid w:val="001060C5"/>
  </w:style>
  <w:style w:type="paragraph" w:customStyle="1" w:styleId="4">
    <w:name w:val="样式4"/>
    <w:basedOn w:val="PlainText"/>
    <w:uiPriority w:val="99"/>
    <w:rsid w:val="001060C5"/>
    <w:pPr>
      <w:adjustRightInd w:val="0"/>
      <w:snapToGrid w:val="0"/>
      <w:spacing w:line="610" w:lineRule="exact"/>
      <w:jc w:val="center"/>
    </w:pPr>
    <w:rPr>
      <w:rFonts w:ascii="方正小标宋简体" w:eastAsia="方正小标宋简体" w:hAnsi="Times New Roman"/>
      <w:kern w:val="0"/>
      <w:sz w:val="44"/>
      <w:szCs w:val="44"/>
    </w:rPr>
  </w:style>
  <w:style w:type="paragraph" w:customStyle="1" w:styleId="NoSpacing1">
    <w:name w:val="No Spacing1"/>
    <w:uiPriority w:val="99"/>
    <w:rsid w:val="001060C5"/>
    <w:pPr>
      <w:widowControl w:val="0"/>
      <w:jc w:val="both"/>
    </w:pPr>
    <w:rPr>
      <w:sz w:val="30"/>
      <w:szCs w:val="30"/>
    </w:rPr>
  </w:style>
  <w:style w:type="paragraph" w:customStyle="1" w:styleId="New0">
    <w:name w:val="纯文本 New"/>
    <w:basedOn w:val="Normal"/>
    <w:uiPriority w:val="99"/>
    <w:rsid w:val="001060C5"/>
    <w:rPr>
      <w:rFonts w:ascii="宋体" w:hAnsi="Courier New"/>
      <w:szCs w:val="20"/>
    </w:rPr>
  </w:style>
  <w:style w:type="paragraph" w:customStyle="1" w:styleId="NewNewNewNewNewNewNewNewNew">
    <w:name w:val="正文 New New New New New New New New New"/>
    <w:uiPriority w:val="99"/>
    <w:rsid w:val="001060C5"/>
    <w:pPr>
      <w:widowControl w:val="0"/>
      <w:jc w:val="both"/>
    </w:pPr>
    <w:rPr>
      <w:szCs w:val="24"/>
    </w:rPr>
  </w:style>
  <w:style w:type="paragraph" w:customStyle="1" w:styleId="2">
    <w:name w:val="样式2"/>
    <w:basedOn w:val="PlainText"/>
    <w:link w:val="2Char"/>
    <w:uiPriority w:val="99"/>
    <w:rsid w:val="001060C5"/>
    <w:pPr>
      <w:adjustRightInd w:val="0"/>
      <w:snapToGrid w:val="0"/>
      <w:spacing w:line="610" w:lineRule="exact"/>
      <w:ind w:firstLineChars="200" w:firstLine="640"/>
    </w:pPr>
    <w:rPr>
      <w:rFonts w:ascii="楷体_GB2312" w:eastAsia="楷体_GB2312"/>
      <w:sz w:val="32"/>
    </w:rPr>
  </w:style>
  <w:style w:type="paragraph" w:customStyle="1" w:styleId="p16">
    <w:name w:val="p16"/>
    <w:basedOn w:val="Normal"/>
    <w:uiPriority w:val="99"/>
    <w:rsid w:val="001060C5"/>
    <w:pPr>
      <w:widowControl/>
    </w:pPr>
    <w:rPr>
      <w:kern w:val="0"/>
      <w:szCs w:val="21"/>
    </w:rPr>
  </w:style>
  <w:style w:type="paragraph" w:customStyle="1" w:styleId="1">
    <w:name w:val="样式1"/>
    <w:basedOn w:val="PlainText"/>
    <w:link w:val="1CharChar"/>
    <w:uiPriority w:val="99"/>
    <w:rsid w:val="001060C5"/>
    <w:pPr>
      <w:adjustRightInd w:val="0"/>
      <w:snapToGrid w:val="0"/>
      <w:spacing w:line="610" w:lineRule="exact"/>
      <w:ind w:firstLineChars="200" w:firstLine="640"/>
    </w:pPr>
    <w:rPr>
      <w:rFonts w:ascii="黑体" w:eastAsia="黑体"/>
      <w:sz w:val="32"/>
    </w:rPr>
  </w:style>
  <w:style w:type="table" w:styleId="TableGrid">
    <w:name w:val="Table Grid"/>
    <w:basedOn w:val="TableNormal"/>
    <w:uiPriority w:val="99"/>
    <w:rsid w:val="001060C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rsid w:val="001E547D"/>
    <w:rPr>
      <w:sz w:val="18"/>
      <w:szCs w:val="20"/>
    </w:rPr>
  </w:style>
  <w:style w:type="character" w:customStyle="1" w:styleId="BalloonTextChar">
    <w:name w:val="Balloon Text Char"/>
    <w:basedOn w:val="DefaultParagraphFont"/>
    <w:link w:val="BalloonText"/>
    <w:uiPriority w:val="99"/>
    <w:semiHidden/>
    <w:locked/>
    <w:rsid w:val="00407D2F"/>
    <w:rPr>
      <w:rFonts w:cs="Times New Roman"/>
      <w:sz w:val="2"/>
    </w:rPr>
  </w:style>
  <w:style w:type="character" w:customStyle="1" w:styleId="BalloonTextChar1">
    <w:name w:val="Balloon Text Char1"/>
    <w:link w:val="BalloonText"/>
    <w:uiPriority w:val="99"/>
    <w:locked/>
    <w:rsid w:val="001E547D"/>
    <w:rPr>
      <w:kern w:val="2"/>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12</Pages>
  <Words>824</Words>
  <Characters>4698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cp:lastModifiedBy>
  <cp:revision>3</cp:revision>
  <cp:lastPrinted>2019-06-12T08:34:00Z</cp:lastPrinted>
  <dcterms:created xsi:type="dcterms:W3CDTF">2019-06-17T06:05:00Z</dcterms:created>
  <dcterms:modified xsi:type="dcterms:W3CDTF">2019-06-17T06:09:00Z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