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val="0"/>
        <w:overflowPunct/>
        <w:topLinePunct w:val="0"/>
        <w:autoSpaceDE/>
        <w:autoSpaceDN/>
        <w:bidi w:val="0"/>
        <w:adjustRightInd w:val="0"/>
        <w:snapToGrid w:val="0"/>
        <w:spacing w:beforeAutospacing="0" w:afterAutospacing="0" w:line="592" w:lineRule="exact"/>
        <w:ind w:left="0" w:leftChars="0" w:right="0" w:rightChars="0" w:firstLine="0" w:firstLineChars="0"/>
        <w:jc w:val="center"/>
        <w:textAlignment w:val="auto"/>
        <w:outlineLvl w:val="9"/>
        <w:rPr>
          <w:rFonts w:hint="eastAsia" w:ascii="宋体" w:hAnsi="宋体" w:eastAsia="宋体" w:cs="宋体"/>
          <w:kern w:val="2"/>
          <w:sz w:val="32"/>
          <w:szCs w:val="32"/>
          <w:lang w:val="en-US" w:eastAsia="zh-CN" w:bidi="ar"/>
        </w:rPr>
      </w:pPr>
      <w:bookmarkStart w:id="0" w:name="_GoBack"/>
      <w:bookmarkEnd w:id="0"/>
    </w:p>
    <w:p>
      <w:pPr>
        <w:keepNext w:val="0"/>
        <w:keepLines w:val="0"/>
        <w:pageBreakBefore w:val="0"/>
        <w:widowControl w:val="0"/>
        <w:suppressLineNumbers w:val="0"/>
        <w:kinsoku/>
        <w:wordWrap w:val="0"/>
        <w:overflowPunct/>
        <w:topLinePunct w:val="0"/>
        <w:autoSpaceDE/>
        <w:autoSpaceDN/>
        <w:bidi w:val="0"/>
        <w:adjustRightInd w:val="0"/>
        <w:snapToGrid w:val="0"/>
        <w:spacing w:beforeAutospacing="0" w:afterAutospacing="0" w:line="592" w:lineRule="exact"/>
        <w:ind w:left="0" w:leftChars="0" w:right="0" w:rightChars="0" w:firstLine="0" w:firstLineChars="0"/>
        <w:jc w:val="center"/>
        <w:textAlignment w:val="auto"/>
        <w:outlineLvl w:val="9"/>
        <w:rPr>
          <w:rFonts w:hint="eastAsia" w:ascii="宋体" w:hAnsi="宋体" w:eastAsia="宋体" w:cs="宋体"/>
          <w:kern w:val="2"/>
          <w:sz w:val="32"/>
          <w:szCs w:val="32"/>
          <w:lang w:val="en-US" w:eastAsia="zh-CN" w:bidi="ar"/>
        </w:rPr>
      </w:pPr>
    </w:p>
    <w:p>
      <w:pPr>
        <w:keepNext w:val="0"/>
        <w:keepLines w:val="0"/>
        <w:pageBreakBefore w:val="0"/>
        <w:widowControl w:val="0"/>
        <w:suppressLineNumbers w:val="0"/>
        <w:kinsoku/>
        <w:wordWrap w:val="0"/>
        <w:overflowPunct/>
        <w:topLinePunct w:val="0"/>
        <w:autoSpaceDE/>
        <w:autoSpaceDN/>
        <w:bidi w:val="0"/>
        <w:adjustRightInd w:val="0"/>
        <w:snapToGrid w:val="0"/>
        <w:spacing w:beforeAutospacing="0" w:afterAutospacing="0" w:line="592" w:lineRule="exact"/>
        <w:ind w:left="0" w:leftChars="0" w:right="0" w:rightChars="0" w:firstLine="0" w:firstLineChars="0"/>
        <w:jc w:val="center"/>
        <w:textAlignment w:val="auto"/>
        <w:outlineLvl w:val="9"/>
        <w:rPr>
          <w:rFonts w:hint="eastAsia" w:ascii="宋体" w:hAnsi="宋体" w:eastAsia="宋体" w:cs="宋体"/>
          <w:sz w:val="44"/>
          <w:szCs w:val="44"/>
          <w:lang w:val="en-US"/>
        </w:rPr>
      </w:pPr>
      <w:r>
        <w:rPr>
          <w:rFonts w:hint="eastAsia" w:ascii="宋体" w:hAnsi="宋体" w:eastAsia="宋体" w:cs="宋体"/>
          <w:kern w:val="2"/>
          <w:sz w:val="44"/>
          <w:szCs w:val="44"/>
          <w:lang w:val="en-US" w:eastAsia="zh-CN" w:bidi="ar"/>
        </w:rPr>
        <w:t>昆明经济技术开发区条例</w:t>
      </w:r>
    </w:p>
    <w:p>
      <w:pPr>
        <w:keepNext w:val="0"/>
        <w:keepLines w:val="0"/>
        <w:pageBreakBefore w:val="0"/>
        <w:widowControl w:val="0"/>
        <w:suppressLineNumbers w:val="0"/>
        <w:kinsoku/>
        <w:wordWrap w:val="0"/>
        <w:overflowPunct/>
        <w:topLinePunct w:val="0"/>
        <w:autoSpaceDE/>
        <w:autoSpaceDN/>
        <w:bidi w:val="0"/>
        <w:adjustRightInd w:val="0"/>
        <w:snapToGrid w:val="0"/>
        <w:spacing w:beforeAutospacing="0" w:afterAutospacing="0" w:line="592" w:lineRule="exact"/>
        <w:ind w:left="0" w:leftChars="0" w:right="0" w:rightChars="0" w:firstLine="0" w:firstLineChars="0"/>
        <w:jc w:val="center"/>
        <w:textAlignment w:val="auto"/>
        <w:outlineLvl w:val="9"/>
        <w:rPr>
          <w:rFonts w:hint="eastAsia" w:ascii="宋体" w:hAnsi="宋体" w:eastAsia="宋体" w:cs="宋体"/>
          <w:color w:val="000000"/>
          <w:sz w:val="32"/>
          <w:szCs w:val="32"/>
          <w:lang w:val="en-US"/>
        </w:rPr>
      </w:pPr>
    </w:p>
    <w:p>
      <w:pPr>
        <w:keepNext w:val="0"/>
        <w:keepLines w:val="0"/>
        <w:pageBreakBefore w:val="0"/>
        <w:widowControl w:val="0"/>
        <w:suppressLineNumbers w:val="0"/>
        <w:kinsoku/>
        <w:wordWrap w:val="0"/>
        <w:overflowPunct/>
        <w:topLinePunct w:val="0"/>
        <w:autoSpaceDE/>
        <w:autoSpaceDN/>
        <w:bidi w:val="0"/>
        <w:adjustRightInd w:val="0"/>
        <w:snapToGrid w:val="0"/>
        <w:spacing w:beforeAutospacing="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z w:val="32"/>
          <w:szCs w:val="32"/>
          <w:lang w:val="en-US"/>
        </w:rPr>
      </w:pPr>
      <w:r>
        <w:rPr>
          <w:rFonts w:hint="default" w:ascii="Times New Roman" w:hAnsi="Times New Roman" w:eastAsia="楷体_GB2312" w:cs="Times New Roman"/>
          <w:kern w:val="2"/>
          <w:sz w:val="32"/>
          <w:szCs w:val="32"/>
          <w:lang w:val="en-US" w:eastAsia="zh-CN" w:bidi="ar"/>
        </w:rPr>
        <w:t>（2014年8月29日昆明市第十三届人民代表大会常务委员会第二十五次会议通过  2014年9月26日云南省第十二届人民代表大会常务委员会第十二次会议批准）</w:t>
      </w:r>
    </w:p>
    <w:p>
      <w:pPr>
        <w:keepNext w:val="0"/>
        <w:keepLines w:val="0"/>
        <w:pageBreakBefore w:val="0"/>
        <w:widowControl w:val="0"/>
        <w:suppressLineNumbers w:val="0"/>
        <w:kinsoku/>
        <w:wordWrap w:val="0"/>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lang w:val="en-US"/>
        </w:rPr>
      </w:pPr>
    </w:p>
    <w:p>
      <w:pPr>
        <w:keepNext w:val="0"/>
        <w:keepLines w:val="0"/>
        <w:pageBreakBefore w:val="0"/>
        <w:widowControl w:val="0"/>
        <w:suppressLineNumbers w:val="0"/>
        <w:kinsoku/>
        <w:wordWrap w:val="0"/>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黑体" w:hAnsi="黑体" w:eastAsia="黑体" w:cs="黑体"/>
          <w:kern w:val="2"/>
          <w:sz w:val="32"/>
          <w:szCs w:val="32"/>
          <w:lang w:val="en-US" w:eastAsia="zh-CN" w:bidi="ar"/>
        </w:rPr>
        <w:t>第一条</w:t>
      </w:r>
      <w:r>
        <w:rPr>
          <w:rFonts w:hint="default" w:ascii="Times New Roman" w:hAnsi="Times New Roman" w:eastAsia="仿宋_GB2312" w:cs="Times New Roman"/>
          <w:b/>
          <w:bCs w:val="0"/>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 xml:space="preserve"> 为了保障和促进昆明经济技术开发区（以下简称经开区）的经济社会发展，发挥经开区的示范带动作用，根据有关法律、法规，结合本市实际，制定本条例。</w:t>
      </w:r>
    </w:p>
    <w:p>
      <w:pPr>
        <w:keepNext w:val="0"/>
        <w:keepLines w:val="0"/>
        <w:pageBreakBefore w:val="0"/>
        <w:widowControl w:val="0"/>
        <w:suppressLineNumbers w:val="0"/>
        <w:kinsoku/>
        <w:wordWrap w:val="0"/>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黑体" w:hAnsi="黑体" w:eastAsia="黑体" w:cs="黑体"/>
          <w:kern w:val="2"/>
          <w:sz w:val="32"/>
          <w:szCs w:val="32"/>
          <w:lang w:val="en-US" w:eastAsia="zh-CN" w:bidi="ar"/>
        </w:rPr>
        <w:t>第二条</w:t>
      </w:r>
      <w:r>
        <w:rPr>
          <w:rFonts w:hint="default" w:ascii="Times New Roman" w:hAnsi="Times New Roman" w:eastAsia="仿宋_GB2312" w:cs="Times New Roman"/>
          <w:kern w:val="2"/>
          <w:sz w:val="32"/>
          <w:szCs w:val="32"/>
          <w:lang w:val="en-US" w:eastAsia="zh-CN" w:bidi="ar"/>
        </w:rPr>
        <w:t xml:space="preserve">  经开区是经国务院批准设立的国家级开发区；是以发展信息产业、高新技术产业、出口加工业、现代制造业、现代服务业为主的多功能综合工业园区；是合理规划产业布局、发展循环经济、吸引外来投资的特定区域；是管理体制改革和制度创新的试验示范区。</w:t>
      </w:r>
    </w:p>
    <w:p>
      <w:pPr>
        <w:keepNext w:val="0"/>
        <w:keepLines w:val="0"/>
        <w:pageBreakBefore w:val="0"/>
        <w:widowControl w:val="0"/>
        <w:suppressLineNumbers w:val="0"/>
        <w:kinsoku/>
        <w:wordWrap w:val="0"/>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黑体" w:hAnsi="黑体" w:eastAsia="黑体" w:cs="黑体"/>
          <w:kern w:val="2"/>
          <w:sz w:val="32"/>
          <w:szCs w:val="32"/>
          <w:lang w:val="en-US" w:eastAsia="zh-CN" w:bidi="ar"/>
        </w:rPr>
        <w:t>第三条</w:t>
      </w:r>
      <w:r>
        <w:rPr>
          <w:rFonts w:hint="default" w:ascii="Times New Roman" w:hAnsi="Times New Roman" w:eastAsia="仿宋_GB2312" w:cs="Times New Roman"/>
          <w:kern w:val="2"/>
          <w:sz w:val="32"/>
          <w:szCs w:val="32"/>
          <w:lang w:val="en-US" w:eastAsia="zh-CN" w:bidi="ar"/>
        </w:rPr>
        <w:t xml:space="preserve">  本条例适用于经开区的组织和个人，以及经开区外在经开区从事与本条例相关活动的组织和个人。</w:t>
      </w:r>
    </w:p>
    <w:p>
      <w:pPr>
        <w:keepNext w:val="0"/>
        <w:keepLines w:val="0"/>
        <w:pageBreakBefore w:val="0"/>
        <w:widowControl w:val="0"/>
        <w:suppressLineNumbers w:val="0"/>
        <w:kinsoku/>
        <w:wordWrap w:val="0"/>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黑体" w:hAnsi="黑体" w:eastAsia="黑体" w:cs="黑体"/>
          <w:kern w:val="2"/>
          <w:sz w:val="32"/>
          <w:szCs w:val="32"/>
          <w:lang w:val="en-US" w:eastAsia="zh-CN" w:bidi="ar"/>
        </w:rPr>
        <w:t>第四条</w:t>
      </w:r>
      <w:r>
        <w:rPr>
          <w:rFonts w:hint="default" w:ascii="Times New Roman" w:hAnsi="Times New Roman" w:eastAsia="仿宋_GB2312" w:cs="Times New Roman"/>
          <w:kern w:val="2"/>
          <w:sz w:val="32"/>
          <w:szCs w:val="32"/>
          <w:lang w:val="en-US" w:eastAsia="zh-CN" w:bidi="ar"/>
        </w:rPr>
        <w:t xml:space="preserve">  经开区的建设与发展纳入昆明市国民经济和社会发展规划，注重经济效益、社会效益和环境效益相统一。</w:t>
      </w:r>
    </w:p>
    <w:p>
      <w:pPr>
        <w:keepNext w:val="0"/>
        <w:keepLines w:val="0"/>
        <w:pageBreakBefore w:val="0"/>
        <w:widowControl w:val="0"/>
        <w:suppressLineNumbers w:val="0"/>
        <w:kinsoku/>
        <w:wordWrap w:val="0"/>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bidi="ar"/>
        </w:rPr>
        <w:t>市属各部门及相关县（区）人民政府应当支持经开区的建设和发展。</w:t>
      </w:r>
    </w:p>
    <w:p>
      <w:pPr>
        <w:keepNext w:val="0"/>
        <w:keepLines w:val="0"/>
        <w:pageBreakBefore w:val="0"/>
        <w:widowControl w:val="0"/>
        <w:suppressLineNumbers w:val="0"/>
        <w:kinsoku/>
        <w:wordWrap w:val="0"/>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黑体" w:hAnsi="黑体" w:eastAsia="黑体" w:cs="黑体"/>
          <w:kern w:val="2"/>
          <w:sz w:val="32"/>
          <w:szCs w:val="32"/>
          <w:lang w:val="en-US" w:eastAsia="zh-CN" w:bidi="ar"/>
        </w:rPr>
        <w:t>第五条</w:t>
      </w:r>
      <w:r>
        <w:rPr>
          <w:rFonts w:hint="default" w:ascii="Times New Roman" w:hAnsi="Times New Roman" w:eastAsia="仿宋_GB2312" w:cs="Times New Roman"/>
          <w:kern w:val="2"/>
          <w:sz w:val="32"/>
          <w:szCs w:val="32"/>
          <w:lang w:val="en-US" w:eastAsia="zh-CN" w:bidi="ar"/>
        </w:rPr>
        <w:t xml:space="preserve">  昆明经济技术开发区管理委员会（以下简称管委会）是昆明市人民政府的派出机构，对经开区实行统一领导和管理，行使市级经济管理权限和相应的行政审批权限，根据授权管理区域内的社会事务。</w:t>
      </w:r>
    </w:p>
    <w:p>
      <w:pPr>
        <w:keepNext w:val="0"/>
        <w:keepLines w:val="0"/>
        <w:pageBreakBefore w:val="0"/>
        <w:widowControl w:val="0"/>
        <w:suppressLineNumbers w:val="0"/>
        <w:kinsoku/>
        <w:wordWrap w:val="0"/>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黑体" w:hAnsi="黑体" w:eastAsia="黑体" w:cs="黑体"/>
          <w:kern w:val="2"/>
          <w:sz w:val="32"/>
          <w:szCs w:val="32"/>
          <w:lang w:val="en-US" w:eastAsia="zh-CN" w:bidi="ar"/>
        </w:rPr>
        <w:t>第六条</w:t>
      </w:r>
      <w:r>
        <w:rPr>
          <w:rFonts w:hint="default" w:ascii="Times New Roman" w:hAnsi="Times New Roman" w:eastAsia="仿宋_GB2312" w:cs="Times New Roman"/>
          <w:kern w:val="2"/>
          <w:sz w:val="32"/>
          <w:szCs w:val="32"/>
          <w:lang w:val="en-US" w:eastAsia="zh-CN" w:bidi="ar"/>
        </w:rPr>
        <w:t xml:space="preserve">  管委会履行下列职责：  </w:t>
      </w:r>
    </w:p>
    <w:p>
      <w:pPr>
        <w:keepNext w:val="0"/>
        <w:keepLines w:val="0"/>
        <w:pageBreakBefore w:val="0"/>
        <w:widowControl w:val="0"/>
        <w:suppressLineNumbers w:val="0"/>
        <w:kinsoku/>
        <w:wordWrap w:val="0"/>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bidi="ar"/>
        </w:rPr>
        <w:t>（一）贯彻实施法律、法规、规章及有关经开区的方针政策；</w:t>
      </w:r>
    </w:p>
    <w:p>
      <w:pPr>
        <w:keepNext w:val="0"/>
        <w:keepLines w:val="0"/>
        <w:pageBreakBefore w:val="0"/>
        <w:widowControl w:val="0"/>
        <w:suppressLineNumbers w:val="0"/>
        <w:kinsoku/>
        <w:wordWrap w:val="0"/>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bidi="ar"/>
        </w:rPr>
        <w:t>（二）编制经开区经济和社会发展规划、总体规划、控制性详细规划和环境保护等有关专项规划，报市人民政府批准后组织实施；</w:t>
      </w:r>
    </w:p>
    <w:p>
      <w:pPr>
        <w:keepNext w:val="0"/>
        <w:keepLines w:val="0"/>
        <w:pageBreakBefore w:val="0"/>
        <w:widowControl w:val="0"/>
        <w:suppressLineNumbers w:val="0"/>
        <w:kinsoku/>
        <w:wordWrap w:val="0"/>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bidi="ar"/>
        </w:rPr>
        <w:t>（三）制定并组织实施经开区的各项管理规定、激励措施、促进投资和生产经营的政策；</w:t>
      </w:r>
    </w:p>
    <w:p>
      <w:pPr>
        <w:keepNext w:val="0"/>
        <w:keepLines w:val="0"/>
        <w:pageBreakBefore w:val="0"/>
        <w:widowControl w:val="0"/>
        <w:suppressLineNumbers w:val="0"/>
        <w:kinsoku/>
        <w:wordWrap w:val="0"/>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bidi="ar"/>
        </w:rPr>
        <w:t>（四）依照权限审批、核准进入区内的各类投资项目；</w:t>
      </w:r>
    </w:p>
    <w:p>
      <w:pPr>
        <w:keepNext w:val="0"/>
        <w:keepLines w:val="0"/>
        <w:pageBreakBefore w:val="0"/>
        <w:widowControl w:val="0"/>
        <w:suppressLineNumbers w:val="0"/>
        <w:kinsoku/>
        <w:wordWrap w:val="0"/>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bidi="ar"/>
        </w:rPr>
        <w:t>（五）管理经开区的财政收支和国有资产；</w:t>
      </w:r>
    </w:p>
    <w:p>
      <w:pPr>
        <w:keepNext w:val="0"/>
        <w:keepLines w:val="0"/>
        <w:pageBreakBefore w:val="0"/>
        <w:widowControl w:val="0"/>
        <w:suppressLineNumbers w:val="0"/>
        <w:kinsoku/>
        <w:wordWrap w:val="0"/>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bidi="ar"/>
        </w:rPr>
        <w:t>（六）负责经开区的规划、国土资源、住房和城乡建设、科技、教育、文化、卫生、城市管理、安全生产、环境保护、知识产权保护、统计、档案管理等经济社会事务；</w:t>
      </w:r>
    </w:p>
    <w:p>
      <w:pPr>
        <w:keepNext w:val="0"/>
        <w:keepLines w:val="0"/>
        <w:pageBreakBefore w:val="0"/>
        <w:widowControl w:val="0"/>
        <w:suppressLineNumbers w:val="0"/>
        <w:kinsoku/>
        <w:wordWrap w:val="0"/>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bidi="ar"/>
        </w:rPr>
        <w:t>（七）为经开区的组织和个人提供公共服务；</w:t>
      </w:r>
    </w:p>
    <w:p>
      <w:pPr>
        <w:keepNext w:val="0"/>
        <w:keepLines w:val="0"/>
        <w:pageBreakBefore w:val="0"/>
        <w:widowControl w:val="0"/>
        <w:suppressLineNumbers w:val="0"/>
        <w:kinsoku/>
        <w:wordWrap w:val="0"/>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bidi="ar"/>
        </w:rPr>
        <w:t>（八）国家和省、市人民政府授予的其他职权。</w:t>
      </w:r>
    </w:p>
    <w:p>
      <w:pPr>
        <w:keepNext w:val="0"/>
        <w:keepLines w:val="0"/>
        <w:pageBreakBefore w:val="0"/>
        <w:widowControl w:val="0"/>
        <w:suppressLineNumbers w:val="0"/>
        <w:kinsoku/>
        <w:wordWrap w:val="0"/>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黑体" w:hAnsi="黑体" w:eastAsia="黑体" w:cs="黑体"/>
          <w:kern w:val="2"/>
          <w:sz w:val="32"/>
          <w:szCs w:val="32"/>
          <w:lang w:val="en-US" w:eastAsia="zh-CN" w:bidi="ar"/>
        </w:rPr>
        <w:t>第七条</w:t>
      </w:r>
      <w:r>
        <w:rPr>
          <w:rFonts w:hint="default" w:ascii="Times New Roman" w:hAnsi="Times New Roman" w:eastAsia="仿宋_GB2312" w:cs="Times New Roman"/>
          <w:kern w:val="2"/>
          <w:sz w:val="32"/>
          <w:szCs w:val="32"/>
          <w:lang w:val="en-US" w:eastAsia="zh-CN" w:bidi="ar"/>
        </w:rPr>
        <w:t xml:space="preserve">  经开区财政实行单独核算，纳入市级财政预算管理。经开区的财政收入，除按照规定上缴国家和省、市外，应当用于经开区的建设与发展。</w:t>
      </w:r>
    </w:p>
    <w:p>
      <w:pPr>
        <w:keepNext w:val="0"/>
        <w:keepLines w:val="0"/>
        <w:pageBreakBefore w:val="0"/>
        <w:widowControl w:val="0"/>
        <w:suppressLineNumbers w:val="0"/>
        <w:kinsoku/>
        <w:wordWrap w:val="0"/>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黑体" w:hAnsi="黑体" w:eastAsia="黑体" w:cs="黑体"/>
          <w:kern w:val="2"/>
          <w:sz w:val="32"/>
          <w:szCs w:val="32"/>
          <w:lang w:val="en-US" w:eastAsia="zh-CN" w:bidi="ar"/>
        </w:rPr>
        <w:t>第八条</w:t>
      </w:r>
      <w:r>
        <w:rPr>
          <w:rFonts w:hint="default" w:ascii="Times New Roman" w:hAnsi="Times New Roman" w:eastAsia="仿宋_GB2312" w:cs="Times New Roman"/>
          <w:kern w:val="2"/>
          <w:sz w:val="32"/>
          <w:szCs w:val="32"/>
          <w:lang w:val="en-US" w:eastAsia="zh-CN" w:bidi="ar"/>
        </w:rPr>
        <w:t xml:space="preserve">  管委会应当按照精简、高效的原则设立工作部门，创造良好的经济社会运行环境。</w:t>
      </w:r>
    </w:p>
    <w:p>
      <w:pPr>
        <w:keepNext w:val="0"/>
        <w:keepLines w:val="0"/>
        <w:pageBreakBefore w:val="0"/>
        <w:widowControl w:val="0"/>
        <w:suppressLineNumbers w:val="0"/>
        <w:kinsoku/>
        <w:wordWrap w:val="0"/>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黑体" w:hAnsi="黑体" w:eastAsia="黑体" w:cs="黑体"/>
          <w:kern w:val="2"/>
          <w:sz w:val="32"/>
          <w:szCs w:val="32"/>
          <w:lang w:val="en-US" w:eastAsia="zh-CN" w:bidi="ar"/>
        </w:rPr>
        <w:t>第九条</w:t>
      </w:r>
      <w:r>
        <w:rPr>
          <w:rFonts w:hint="default" w:ascii="Times New Roman" w:hAnsi="Times New Roman" w:eastAsia="仿宋_GB2312" w:cs="Times New Roman"/>
          <w:b/>
          <w:bCs w:val="0"/>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市人民政府有关职能部门在经开区设立派出机构应当征求管委会意见，并报市人民政府批准。有关行政管理部门在经开区设立分支机构，应当征求管委会意见。有关职能部门和垂直管理部门设立的派出机构、分支机构实行双重领导，在管委会的管理、协调下，履行各自的职能。</w:t>
      </w:r>
    </w:p>
    <w:p>
      <w:pPr>
        <w:keepNext w:val="0"/>
        <w:keepLines w:val="0"/>
        <w:pageBreakBefore w:val="0"/>
        <w:widowControl w:val="0"/>
        <w:suppressLineNumbers w:val="0"/>
        <w:kinsoku/>
        <w:wordWrap w:val="0"/>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bidi="ar"/>
        </w:rPr>
        <w:t>金融、海关、出入境检验检疫等部门，可以在经开区设立分支机构或者业务窗口。</w:t>
      </w:r>
    </w:p>
    <w:p>
      <w:pPr>
        <w:keepNext w:val="0"/>
        <w:keepLines w:val="0"/>
        <w:pageBreakBefore w:val="0"/>
        <w:widowControl w:val="0"/>
        <w:suppressLineNumbers w:val="0"/>
        <w:kinsoku/>
        <w:wordWrap w:val="0"/>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黑体" w:hAnsi="黑体" w:eastAsia="黑体" w:cs="黑体"/>
          <w:kern w:val="2"/>
          <w:sz w:val="32"/>
          <w:szCs w:val="32"/>
          <w:lang w:val="en-US" w:eastAsia="zh-CN" w:bidi="ar"/>
        </w:rPr>
        <w:t>第十条</w:t>
      </w:r>
      <w:r>
        <w:rPr>
          <w:rFonts w:hint="default" w:ascii="Times New Roman" w:hAnsi="Times New Roman" w:eastAsia="仿宋_GB2312" w:cs="Times New Roman"/>
          <w:b/>
          <w:bCs w:val="0"/>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 xml:space="preserve"> 管委会依法维护投资者和劳动者的合法权益。</w:t>
      </w:r>
    </w:p>
    <w:p>
      <w:pPr>
        <w:keepNext w:val="0"/>
        <w:keepLines w:val="0"/>
        <w:pageBreakBefore w:val="0"/>
        <w:widowControl w:val="0"/>
        <w:suppressLineNumbers w:val="0"/>
        <w:kinsoku/>
        <w:wordWrap w:val="0"/>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黑体" w:hAnsi="黑体" w:eastAsia="黑体" w:cs="黑体"/>
          <w:kern w:val="2"/>
          <w:sz w:val="32"/>
          <w:szCs w:val="32"/>
          <w:lang w:val="en-US" w:eastAsia="zh-CN" w:bidi="ar"/>
        </w:rPr>
        <w:t>第十一条</w:t>
      </w:r>
      <w:r>
        <w:rPr>
          <w:rFonts w:hint="default" w:ascii="Times New Roman" w:hAnsi="Times New Roman" w:eastAsia="仿宋_GB2312" w:cs="Times New Roman"/>
          <w:kern w:val="2"/>
          <w:sz w:val="32"/>
          <w:szCs w:val="32"/>
          <w:lang w:val="en-US" w:eastAsia="zh-CN" w:bidi="ar"/>
        </w:rPr>
        <w:t xml:space="preserve">  管委会应当建立畅通、高效的行政管理投诉受理机制。</w:t>
      </w:r>
    </w:p>
    <w:p>
      <w:pPr>
        <w:keepNext w:val="0"/>
        <w:keepLines w:val="0"/>
        <w:pageBreakBefore w:val="0"/>
        <w:widowControl w:val="0"/>
        <w:suppressLineNumbers w:val="0"/>
        <w:kinsoku/>
        <w:wordWrap w:val="0"/>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黑体" w:hAnsi="黑体" w:eastAsia="黑体" w:cs="黑体"/>
          <w:kern w:val="2"/>
          <w:sz w:val="32"/>
          <w:szCs w:val="32"/>
          <w:lang w:val="en-US" w:eastAsia="zh-CN" w:bidi="ar"/>
        </w:rPr>
        <w:t>第十二条</w:t>
      </w:r>
      <w:r>
        <w:rPr>
          <w:rFonts w:hint="default" w:ascii="Times New Roman" w:hAnsi="Times New Roman" w:eastAsia="仿宋_GB2312" w:cs="Times New Roman"/>
          <w:b/>
          <w:bCs w:val="0"/>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 xml:space="preserve"> 管委会应当按照市人民政府批准的经开区总体规划和控制性详细规划组织开发建设。经开区规划范围内的建设项目，应当经管委会同意后办理相关审批手续。</w:t>
      </w:r>
    </w:p>
    <w:p>
      <w:pPr>
        <w:keepNext w:val="0"/>
        <w:keepLines w:val="0"/>
        <w:pageBreakBefore w:val="0"/>
        <w:widowControl w:val="0"/>
        <w:suppressLineNumbers w:val="0"/>
        <w:kinsoku/>
        <w:wordWrap w:val="0"/>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黑体" w:hAnsi="黑体" w:eastAsia="黑体" w:cs="黑体"/>
          <w:kern w:val="2"/>
          <w:sz w:val="32"/>
          <w:szCs w:val="32"/>
          <w:lang w:val="en-US" w:eastAsia="zh-CN" w:bidi="ar"/>
        </w:rPr>
        <w:t>第十三条</w:t>
      </w:r>
      <w:r>
        <w:rPr>
          <w:rFonts w:hint="default" w:ascii="Times New Roman" w:hAnsi="Times New Roman" w:eastAsia="仿宋_GB2312" w:cs="Times New Roman"/>
          <w:kern w:val="2"/>
          <w:sz w:val="32"/>
          <w:szCs w:val="32"/>
          <w:lang w:val="en-US" w:eastAsia="zh-CN" w:bidi="ar"/>
        </w:rPr>
        <w:t xml:space="preserve">  市人民政府应当保障经开区的建设和发展用地。经开区内的农村集体土地，经依法转为国有土地的，按照有关法律、法规进行供地。土地出让收益除按照规定上缴的部分外，其余用于经开区的基础设施建设、土地开发、社会保障和公共事务。</w:t>
      </w:r>
    </w:p>
    <w:p>
      <w:pPr>
        <w:keepNext w:val="0"/>
        <w:keepLines w:val="0"/>
        <w:pageBreakBefore w:val="0"/>
        <w:widowControl w:val="0"/>
        <w:suppressLineNumbers w:val="0"/>
        <w:kinsoku/>
        <w:wordWrap w:val="0"/>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黑体" w:hAnsi="黑体" w:eastAsia="黑体" w:cs="黑体"/>
          <w:kern w:val="2"/>
          <w:sz w:val="32"/>
          <w:szCs w:val="32"/>
          <w:lang w:val="en-US" w:eastAsia="zh-CN" w:bidi="ar"/>
        </w:rPr>
        <w:t>第十四条</w:t>
      </w:r>
      <w:r>
        <w:rPr>
          <w:rFonts w:hint="default" w:ascii="Times New Roman" w:hAnsi="Times New Roman" w:eastAsia="仿宋_GB2312" w:cs="Times New Roman"/>
          <w:b/>
          <w:bCs w:val="0"/>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 xml:space="preserve"> 管委会根据国家、省、市产业政策，结合经开区实际，制定区域产业发展指导目录和投资规模、投资强度、技术水平、环境保护、产值、税收等项目准入条件。</w:t>
      </w:r>
    </w:p>
    <w:p>
      <w:pPr>
        <w:keepNext w:val="0"/>
        <w:keepLines w:val="0"/>
        <w:pageBreakBefore w:val="0"/>
        <w:widowControl w:val="0"/>
        <w:suppressLineNumbers w:val="0"/>
        <w:kinsoku/>
        <w:wordWrap w:val="0"/>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鼓励在经开区兴办下列产业或者项目：</w:t>
      </w:r>
    </w:p>
    <w:p>
      <w:pPr>
        <w:keepNext w:val="0"/>
        <w:keepLines w:val="0"/>
        <w:pageBreakBefore w:val="0"/>
        <w:widowControl w:val="0"/>
        <w:suppressLineNumbers w:val="0"/>
        <w:kinsoku/>
        <w:wordWrap w:val="0"/>
        <w:overflowPunct/>
        <w:topLinePunct w:val="0"/>
        <w:autoSpaceDE/>
        <w:autoSpaceDN/>
        <w:bidi w:val="0"/>
        <w:adjustRightInd w:val="0"/>
        <w:snapToGrid w:val="0"/>
        <w:spacing w:beforeAutospacing="0" w:afterAutospacing="0" w:line="620"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bidi="ar"/>
        </w:rPr>
        <w:t>（一）节能环保、信息技术、生物、高端装备制造、新能源、新材料等战略性新兴产业，文化创意产业和其他高新技术产业；</w:t>
      </w:r>
    </w:p>
    <w:p>
      <w:pPr>
        <w:keepNext w:val="0"/>
        <w:keepLines w:val="0"/>
        <w:pageBreakBefore w:val="0"/>
        <w:widowControl w:val="0"/>
        <w:suppressLineNumbers w:val="0"/>
        <w:kinsoku/>
        <w:wordWrap w:val="0"/>
        <w:overflowPunct/>
        <w:topLinePunct w:val="0"/>
        <w:autoSpaceDE/>
        <w:autoSpaceDN/>
        <w:bidi w:val="0"/>
        <w:adjustRightInd w:val="0"/>
        <w:snapToGrid w:val="0"/>
        <w:spacing w:beforeAutospacing="0" w:afterAutospacing="0" w:line="620"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bidi="ar"/>
        </w:rPr>
        <w:t>（二）出口加工业、现代制造业和升级改造的传统产业；</w:t>
      </w:r>
    </w:p>
    <w:p>
      <w:pPr>
        <w:keepNext w:val="0"/>
        <w:keepLines w:val="0"/>
        <w:pageBreakBefore w:val="0"/>
        <w:widowControl w:val="0"/>
        <w:suppressLineNumbers w:val="0"/>
        <w:kinsoku/>
        <w:wordWrap w:val="0"/>
        <w:overflowPunct/>
        <w:topLinePunct w:val="0"/>
        <w:autoSpaceDE/>
        <w:autoSpaceDN/>
        <w:bidi w:val="0"/>
        <w:adjustRightInd w:val="0"/>
        <w:snapToGrid w:val="0"/>
        <w:spacing w:beforeAutospacing="0" w:afterAutospacing="0" w:line="620"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bidi="ar"/>
        </w:rPr>
        <w:t>（三）金融、法律、会计、评估、咨询、保险等生产性服务业及现代物流业；</w:t>
      </w:r>
    </w:p>
    <w:p>
      <w:pPr>
        <w:keepNext w:val="0"/>
        <w:keepLines w:val="0"/>
        <w:pageBreakBefore w:val="0"/>
        <w:widowControl w:val="0"/>
        <w:suppressLineNumbers w:val="0"/>
        <w:kinsoku/>
        <w:wordWrap w:val="0"/>
        <w:overflowPunct/>
        <w:topLinePunct w:val="0"/>
        <w:autoSpaceDE/>
        <w:autoSpaceDN/>
        <w:bidi w:val="0"/>
        <w:adjustRightInd w:val="0"/>
        <w:snapToGrid w:val="0"/>
        <w:spacing w:beforeAutospacing="0" w:afterAutospacing="0" w:line="620"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bidi="ar"/>
        </w:rPr>
        <w:t>（四）其他符合经开区产业布局和产业导向的商业、教育、文化、卫生、体育等项目。</w:t>
      </w:r>
    </w:p>
    <w:p>
      <w:pPr>
        <w:keepNext w:val="0"/>
        <w:keepLines w:val="0"/>
        <w:pageBreakBefore w:val="0"/>
        <w:widowControl w:val="0"/>
        <w:suppressLineNumbers w:val="0"/>
        <w:kinsoku/>
        <w:wordWrap w:val="0"/>
        <w:overflowPunct/>
        <w:topLinePunct w:val="0"/>
        <w:autoSpaceDE/>
        <w:autoSpaceDN/>
        <w:bidi w:val="0"/>
        <w:adjustRightInd w:val="0"/>
        <w:snapToGrid w:val="0"/>
        <w:spacing w:beforeAutospacing="0" w:afterAutospacing="0" w:line="620"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黑体" w:hAnsi="黑体" w:eastAsia="黑体" w:cs="黑体"/>
          <w:kern w:val="2"/>
          <w:sz w:val="32"/>
          <w:szCs w:val="32"/>
          <w:lang w:val="en-US" w:eastAsia="zh-CN" w:bidi="ar"/>
        </w:rPr>
        <w:t>第十六条</w:t>
      </w:r>
      <w:r>
        <w:rPr>
          <w:rFonts w:hint="default" w:ascii="Times New Roman" w:hAnsi="Times New Roman" w:eastAsia="仿宋_GB2312" w:cs="Times New Roman"/>
          <w:kern w:val="2"/>
          <w:sz w:val="32"/>
          <w:szCs w:val="32"/>
          <w:lang w:val="en-US" w:eastAsia="zh-CN" w:bidi="ar"/>
        </w:rPr>
        <w:t xml:space="preserve">  市人民政府各有关职能部门在促进投资工作中，对符合经开区产业导向和发展规划的投资项目，可以优先安排进区实施。</w:t>
      </w:r>
    </w:p>
    <w:p>
      <w:pPr>
        <w:keepNext w:val="0"/>
        <w:keepLines w:val="0"/>
        <w:pageBreakBefore w:val="0"/>
        <w:widowControl w:val="0"/>
        <w:suppressLineNumbers w:val="0"/>
        <w:kinsoku/>
        <w:wordWrap w:val="0"/>
        <w:overflowPunct/>
        <w:topLinePunct w:val="0"/>
        <w:autoSpaceDE/>
        <w:autoSpaceDN/>
        <w:bidi w:val="0"/>
        <w:adjustRightInd w:val="0"/>
        <w:snapToGrid w:val="0"/>
        <w:spacing w:beforeAutospacing="0" w:afterAutospacing="0" w:line="620"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bidi="ar"/>
        </w:rPr>
        <w:t>经开区应当利用自身技术、项目等优势，带动所在地县（区）的经济社会发展。</w:t>
      </w:r>
    </w:p>
    <w:p>
      <w:pPr>
        <w:keepNext w:val="0"/>
        <w:keepLines w:val="0"/>
        <w:pageBreakBefore w:val="0"/>
        <w:widowControl w:val="0"/>
        <w:suppressLineNumbers w:val="0"/>
        <w:kinsoku/>
        <w:wordWrap w:val="0"/>
        <w:overflowPunct/>
        <w:topLinePunct w:val="0"/>
        <w:autoSpaceDE/>
        <w:autoSpaceDN/>
        <w:bidi w:val="0"/>
        <w:adjustRightInd w:val="0"/>
        <w:snapToGrid w:val="0"/>
        <w:spacing w:beforeAutospacing="0" w:afterAutospacing="0" w:line="620"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黑体" w:hAnsi="黑体" w:eastAsia="黑体" w:cs="黑体"/>
          <w:kern w:val="2"/>
          <w:sz w:val="32"/>
          <w:szCs w:val="32"/>
          <w:lang w:val="en-US" w:eastAsia="zh-CN" w:bidi="ar"/>
        </w:rPr>
        <w:t>第十七条</w:t>
      </w:r>
      <w:r>
        <w:rPr>
          <w:rFonts w:hint="default" w:ascii="Times New Roman" w:hAnsi="Times New Roman" w:eastAsia="仿宋_GB2312" w:cs="Times New Roman"/>
          <w:kern w:val="2"/>
          <w:sz w:val="32"/>
          <w:szCs w:val="32"/>
          <w:lang w:val="en-US" w:eastAsia="zh-CN" w:bidi="ar"/>
        </w:rPr>
        <w:t xml:space="preserve">  国内外投资者在经开区投资，按规定享受国家、省、市和经开区的优惠政策。</w:t>
      </w:r>
    </w:p>
    <w:p>
      <w:pPr>
        <w:keepNext w:val="0"/>
        <w:keepLines w:val="0"/>
        <w:pageBreakBefore w:val="0"/>
        <w:widowControl w:val="0"/>
        <w:suppressLineNumbers w:val="0"/>
        <w:kinsoku/>
        <w:wordWrap w:val="0"/>
        <w:overflowPunct/>
        <w:topLinePunct w:val="0"/>
        <w:autoSpaceDE/>
        <w:autoSpaceDN/>
        <w:bidi w:val="0"/>
        <w:adjustRightInd w:val="0"/>
        <w:snapToGrid w:val="0"/>
        <w:spacing w:beforeAutospacing="0" w:afterAutospacing="0" w:line="620" w:lineRule="exact"/>
        <w:ind w:left="0" w:leftChars="0" w:right="0" w:rightChars="0" w:firstLine="640" w:firstLineChars="200"/>
        <w:jc w:val="both"/>
        <w:textAlignment w:val="auto"/>
        <w:outlineLvl w:val="9"/>
        <w:rPr>
          <w:rFonts w:hint="default" w:ascii="Times New Roman" w:hAnsi="Times New Roman" w:eastAsia="仿宋_GB2312" w:cs="Times New Roman"/>
          <w:bCs/>
          <w:sz w:val="32"/>
          <w:szCs w:val="32"/>
          <w:lang w:val="en-US"/>
        </w:rPr>
      </w:pPr>
      <w:r>
        <w:rPr>
          <w:rFonts w:hint="default" w:ascii="黑体" w:hAnsi="黑体" w:eastAsia="黑体" w:cs="黑体"/>
          <w:kern w:val="2"/>
          <w:sz w:val="32"/>
          <w:szCs w:val="32"/>
          <w:lang w:val="en-US" w:eastAsia="zh-CN" w:bidi="ar"/>
        </w:rPr>
        <w:t>第十八条</w:t>
      </w:r>
      <w:r>
        <w:rPr>
          <w:rFonts w:hint="default" w:ascii="Times New Roman" w:hAnsi="Times New Roman" w:eastAsia="仿宋_GB2312" w:cs="Times New Roman"/>
          <w:kern w:val="2"/>
          <w:sz w:val="32"/>
          <w:szCs w:val="32"/>
          <w:lang w:val="en-US" w:eastAsia="zh-CN" w:bidi="ar"/>
        </w:rPr>
        <w:t xml:space="preserve">  在经开区进行项目开发建设，应当按照规定的期限投入资金、动工建设并按期竣工。对不能按期投入资金、动工建设或者按期竣工的，由管委会依法处理。</w:t>
      </w:r>
    </w:p>
    <w:p>
      <w:pPr>
        <w:keepNext w:val="0"/>
        <w:keepLines w:val="0"/>
        <w:pageBreakBefore w:val="0"/>
        <w:widowControl w:val="0"/>
        <w:suppressLineNumbers w:val="0"/>
        <w:kinsoku/>
        <w:wordWrap w:val="0"/>
        <w:overflowPunct/>
        <w:topLinePunct w:val="0"/>
        <w:autoSpaceDE/>
        <w:autoSpaceDN/>
        <w:bidi w:val="0"/>
        <w:adjustRightInd w:val="0"/>
        <w:snapToGrid w:val="0"/>
        <w:spacing w:beforeAutospacing="0" w:afterAutospacing="0" w:line="620"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黑体" w:hAnsi="黑体" w:eastAsia="黑体" w:cs="黑体"/>
          <w:kern w:val="2"/>
          <w:sz w:val="32"/>
          <w:szCs w:val="32"/>
          <w:lang w:val="en-US" w:eastAsia="zh-CN" w:bidi="ar"/>
        </w:rPr>
        <w:t>第十九条</w:t>
      </w:r>
      <w:r>
        <w:rPr>
          <w:rFonts w:hint="default" w:ascii="Times New Roman" w:hAnsi="Times New Roman" w:eastAsia="仿宋_GB2312" w:cs="Times New Roman"/>
          <w:bCs/>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经开区的组织和个人应当执行国家、省、市有关劳动用工、劳动保护、安全生产、工业卫生、社会保障等方面的规定，优化劳动环境，维护劳动者的合法权益。</w:t>
      </w:r>
    </w:p>
    <w:p>
      <w:pPr>
        <w:keepNext w:val="0"/>
        <w:keepLines w:val="0"/>
        <w:pageBreakBefore w:val="0"/>
        <w:widowControl w:val="0"/>
        <w:suppressLineNumbers w:val="0"/>
        <w:kinsoku/>
        <w:wordWrap w:val="0"/>
        <w:overflowPunct/>
        <w:topLinePunct w:val="0"/>
        <w:autoSpaceDE/>
        <w:autoSpaceDN/>
        <w:bidi w:val="0"/>
        <w:adjustRightInd w:val="0"/>
        <w:snapToGrid w:val="0"/>
        <w:spacing w:beforeAutospacing="0" w:afterAutospacing="0" w:line="620" w:lineRule="exact"/>
        <w:ind w:left="0" w:leftChars="0" w:right="0" w:rightChars="0" w:firstLine="640" w:firstLineChars="200"/>
        <w:jc w:val="both"/>
        <w:textAlignment w:val="auto"/>
        <w:outlineLvl w:val="9"/>
        <w:rPr>
          <w:rFonts w:hint="default" w:ascii="Times New Roman" w:hAnsi="Times New Roman" w:eastAsia="仿宋_GB2312" w:cs="Times New Roman"/>
          <w:bCs/>
          <w:sz w:val="32"/>
          <w:szCs w:val="32"/>
          <w:lang w:val="en-US"/>
        </w:rPr>
      </w:pPr>
      <w:r>
        <w:rPr>
          <w:rFonts w:hint="default" w:ascii="黑体" w:hAnsi="黑体" w:eastAsia="黑体" w:cs="黑体"/>
          <w:kern w:val="2"/>
          <w:sz w:val="32"/>
          <w:szCs w:val="32"/>
          <w:lang w:val="en-US" w:eastAsia="zh-CN" w:bidi="ar"/>
        </w:rPr>
        <w:t>第二十条</w:t>
      </w:r>
      <w:r>
        <w:rPr>
          <w:rFonts w:hint="default" w:ascii="Times New Roman" w:hAnsi="Times New Roman" w:eastAsia="仿宋_GB2312" w:cs="Times New Roman"/>
          <w:kern w:val="2"/>
          <w:sz w:val="32"/>
          <w:szCs w:val="32"/>
          <w:lang w:val="en-US" w:eastAsia="zh-CN" w:bidi="ar"/>
        </w:rPr>
        <w:t xml:space="preserve">  管委会及其工作人员应当遵循公平、公正、公开、廉洁、高效的原则依法开展工作，提供优质服务。</w:t>
      </w:r>
    </w:p>
    <w:p>
      <w:pPr>
        <w:keepNext w:val="0"/>
        <w:keepLines w:val="0"/>
        <w:pageBreakBefore w:val="0"/>
        <w:widowControl w:val="0"/>
        <w:suppressLineNumbers w:val="0"/>
        <w:kinsoku/>
        <w:wordWrap w:val="0"/>
        <w:overflowPunct/>
        <w:topLinePunct w:val="0"/>
        <w:autoSpaceDE/>
        <w:autoSpaceDN/>
        <w:bidi w:val="0"/>
        <w:adjustRightInd w:val="0"/>
        <w:snapToGrid w:val="0"/>
        <w:spacing w:beforeAutospacing="0" w:afterAutospacing="0" w:line="620"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黑体" w:hAnsi="黑体" w:eastAsia="黑体" w:cs="黑体"/>
          <w:kern w:val="2"/>
          <w:sz w:val="32"/>
          <w:szCs w:val="32"/>
          <w:lang w:val="en-US" w:eastAsia="zh-CN" w:bidi="ar"/>
        </w:rPr>
        <w:t>第二十一条</w:t>
      </w:r>
      <w:r>
        <w:rPr>
          <w:rFonts w:hint="default" w:ascii="Times New Roman" w:hAnsi="Times New Roman" w:eastAsia="仿宋_GB2312" w:cs="Times New Roman"/>
          <w:bCs/>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管委会建立技术创新服务体系，设立企业发展专项资金，扶持经开区的企业发展。</w:t>
      </w:r>
    </w:p>
    <w:p>
      <w:pPr>
        <w:keepNext w:val="0"/>
        <w:keepLines w:val="0"/>
        <w:pageBreakBefore w:val="0"/>
        <w:widowControl w:val="0"/>
        <w:suppressLineNumbers w:val="0"/>
        <w:kinsoku/>
        <w:wordWrap w:val="0"/>
        <w:overflowPunct/>
        <w:topLinePunct w:val="0"/>
        <w:autoSpaceDE/>
        <w:autoSpaceDN/>
        <w:bidi w:val="0"/>
        <w:adjustRightInd w:val="0"/>
        <w:snapToGrid w:val="0"/>
        <w:spacing w:beforeAutospacing="0" w:afterAutospacing="0" w:line="620"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黑体" w:hAnsi="黑体" w:eastAsia="黑体" w:cs="黑体"/>
          <w:kern w:val="2"/>
          <w:sz w:val="32"/>
          <w:szCs w:val="32"/>
          <w:lang w:val="en-US" w:eastAsia="zh-CN" w:bidi="ar"/>
        </w:rPr>
        <w:t>第二十二条</w:t>
      </w:r>
      <w:r>
        <w:rPr>
          <w:rFonts w:hint="default" w:ascii="Times New Roman" w:hAnsi="Times New Roman" w:eastAsia="仿宋_GB2312" w:cs="Times New Roman"/>
          <w:kern w:val="2"/>
          <w:sz w:val="32"/>
          <w:szCs w:val="32"/>
          <w:lang w:val="en-US" w:eastAsia="zh-CN" w:bidi="ar"/>
        </w:rPr>
        <w:t xml:space="preserve">  鼓励企业、高等院校、科研机构以及其他组织和个人，在经开区投资兴办科技创新园区、科技研发机构，开展技术创新和科技服务。</w:t>
      </w:r>
    </w:p>
    <w:p>
      <w:pPr>
        <w:keepNext w:val="0"/>
        <w:keepLines w:val="0"/>
        <w:pageBreakBefore w:val="0"/>
        <w:widowControl w:val="0"/>
        <w:suppressLineNumbers w:val="0"/>
        <w:kinsoku/>
        <w:wordWrap w:val="0"/>
        <w:overflowPunct/>
        <w:topLinePunct w:val="0"/>
        <w:autoSpaceDE/>
        <w:autoSpaceDN/>
        <w:bidi w:val="0"/>
        <w:adjustRightInd w:val="0"/>
        <w:snapToGrid w:val="0"/>
        <w:spacing w:beforeAutospacing="0" w:afterAutospacing="0" w:line="620"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黑体" w:hAnsi="黑体" w:eastAsia="黑体" w:cs="黑体"/>
          <w:kern w:val="2"/>
          <w:sz w:val="32"/>
          <w:szCs w:val="32"/>
          <w:lang w:val="en-US" w:eastAsia="zh-CN" w:bidi="ar"/>
        </w:rPr>
        <w:t>第二十三条</w:t>
      </w:r>
      <w:r>
        <w:rPr>
          <w:rFonts w:hint="default" w:ascii="Times New Roman" w:hAnsi="Times New Roman" w:eastAsia="仿宋_GB2312" w:cs="Times New Roman"/>
          <w:kern w:val="2"/>
          <w:sz w:val="32"/>
          <w:szCs w:val="32"/>
          <w:lang w:val="en-US" w:eastAsia="zh-CN" w:bidi="ar"/>
        </w:rPr>
        <w:t xml:space="preserve">  鼓励国内外组织和个人依法参与经开区的基础设施、公共设施的投资、建设、运营。</w:t>
      </w:r>
    </w:p>
    <w:p>
      <w:pPr>
        <w:keepNext w:val="0"/>
        <w:keepLines w:val="0"/>
        <w:pageBreakBefore w:val="0"/>
        <w:widowControl w:val="0"/>
        <w:suppressLineNumbers w:val="0"/>
        <w:kinsoku/>
        <w:wordWrap w:val="0"/>
        <w:overflowPunct/>
        <w:topLinePunct w:val="0"/>
        <w:autoSpaceDE/>
        <w:autoSpaceDN/>
        <w:bidi w:val="0"/>
        <w:adjustRightInd w:val="0"/>
        <w:snapToGrid w:val="0"/>
        <w:spacing w:beforeAutospacing="0" w:afterAutospacing="0" w:line="620"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黑体" w:hAnsi="黑体" w:eastAsia="黑体" w:cs="黑体"/>
          <w:kern w:val="2"/>
          <w:sz w:val="32"/>
          <w:szCs w:val="32"/>
          <w:lang w:val="en-US" w:eastAsia="zh-CN" w:bidi="ar"/>
        </w:rPr>
        <w:t>第二十四条</w:t>
      </w:r>
      <w:r>
        <w:rPr>
          <w:rFonts w:hint="default" w:ascii="Times New Roman" w:hAnsi="Times New Roman" w:eastAsia="仿宋_GB2312" w:cs="Times New Roman"/>
          <w:kern w:val="2"/>
          <w:sz w:val="32"/>
          <w:szCs w:val="32"/>
          <w:lang w:val="en-US" w:eastAsia="zh-CN" w:bidi="ar"/>
        </w:rPr>
        <w:t xml:space="preserve">  鼓励国内外组织和个人参与经开区的投资促进工作，对成功引进项目的组织和个人给予奖励。</w:t>
      </w:r>
    </w:p>
    <w:p>
      <w:pPr>
        <w:keepNext w:val="0"/>
        <w:keepLines w:val="0"/>
        <w:pageBreakBefore w:val="0"/>
        <w:widowControl w:val="0"/>
        <w:suppressLineNumbers w:val="0"/>
        <w:kinsoku/>
        <w:wordWrap w:val="0"/>
        <w:overflowPunct/>
        <w:topLinePunct w:val="0"/>
        <w:autoSpaceDE/>
        <w:autoSpaceDN/>
        <w:bidi w:val="0"/>
        <w:adjustRightInd w:val="0"/>
        <w:snapToGrid w:val="0"/>
        <w:spacing w:beforeAutospacing="0" w:afterAutospacing="0" w:line="620"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黑体" w:hAnsi="黑体" w:eastAsia="黑体" w:cs="黑体"/>
          <w:kern w:val="2"/>
          <w:sz w:val="32"/>
          <w:szCs w:val="32"/>
          <w:lang w:val="en-US" w:eastAsia="zh-CN" w:bidi="ar"/>
        </w:rPr>
        <w:t>第二十五条</w:t>
      </w:r>
      <w:r>
        <w:rPr>
          <w:rFonts w:hint="default" w:ascii="Times New Roman" w:hAnsi="Times New Roman" w:eastAsia="仿宋_GB2312" w:cs="Times New Roman"/>
          <w:kern w:val="2"/>
          <w:sz w:val="32"/>
          <w:szCs w:val="32"/>
          <w:lang w:val="en-US" w:eastAsia="zh-CN" w:bidi="ar"/>
        </w:rPr>
        <w:t xml:space="preserve">  鼓励经开区的用人单位引进国内外的高层次、高技能人才。在经开区工作的各类人才按照规定享受国家、省、市和经开区的政策，对有突出贡献的，给予奖励。</w:t>
      </w:r>
    </w:p>
    <w:p>
      <w:pPr>
        <w:keepNext w:val="0"/>
        <w:keepLines w:val="0"/>
        <w:pageBreakBefore w:val="0"/>
        <w:widowControl w:val="0"/>
        <w:suppressLineNumbers w:val="0"/>
        <w:kinsoku/>
        <w:wordWrap w:val="0"/>
        <w:overflowPunct/>
        <w:topLinePunct w:val="0"/>
        <w:autoSpaceDE/>
        <w:autoSpaceDN/>
        <w:bidi w:val="0"/>
        <w:adjustRightInd w:val="0"/>
        <w:snapToGrid w:val="0"/>
        <w:spacing w:beforeAutospacing="0" w:afterAutospacing="0" w:line="620"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黑体" w:hAnsi="黑体" w:eastAsia="黑体" w:cs="黑体"/>
          <w:kern w:val="2"/>
          <w:sz w:val="32"/>
          <w:szCs w:val="32"/>
          <w:lang w:val="en-US" w:eastAsia="zh-CN" w:bidi="ar"/>
        </w:rPr>
        <w:t>第二十六条</w:t>
      </w:r>
      <w:r>
        <w:rPr>
          <w:rFonts w:hint="default" w:ascii="Times New Roman" w:hAnsi="Times New Roman" w:eastAsia="仿宋_GB2312" w:cs="Times New Roman"/>
          <w:b/>
          <w:bCs w:val="0"/>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 xml:space="preserve"> 违反经开区总体规划和控制性详细规划的，由管委会及其工作部门责令停止建设、限期改正或者拆除违法建筑物和其他设施，并按照国家、省、市有关规定予以处罚。</w:t>
      </w:r>
    </w:p>
    <w:p>
      <w:pPr>
        <w:keepNext w:val="0"/>
        <w:keepLines w:val="0"/>
        <w:pageBreakBefore w:val="0"/>
        <w:widowControl w:val="0"/>
        <w:suppressLineNumbers w:val="0"/>
        <w:kinsoku/>
        <w:wordWrap w:val="0"/>
        <w:overflowPunct/>
        <w:topLinePunct w:val="0"/>
        <w:autoSpaceDE/>
        <w:autoSpaceDN/>
        <w:bidi w:val="0"/>
        <w:adjustRightInd w:val="0"/>
        <w:snapToGrid w:val="0"/>
        <w:spacing w:beforeAutospacing="0" w:afterAutospacing="0" w:line="620"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bidi="ar"/>
        </w:rPr>
        <w:t>违反其他规定的，由管委会及其工作部门或者相关行政管理部门按照权限和有关法律、法规的规定予以处理。</w:t>
      </w:r>
    </w:p>
    <w:p>
      <w:pPr>
        <w:keepNext w:val="0"/>
        <w:keepLines w:val="0"/>
        <w:pageBreakBefore w:val="0"/>
        <w:widowControl w:val="0"/>
        <w:suppressLineNumbers w:val="0"/>
        <w:kinsoku/>
        <w:wordWrap w:val="0"/>
        <w:overflowPunct/>
        <w:topLinePunct w:val="0"/>
        <w:autoSpaceDE/>
        <w:autoSpaceDN/>
        <w:bidi w:val="0"/>
        <w:adjustRightInd w:val="0"/>
        <w:snapToGrid w:val="0"/>
        <w:spacing w:beforeAutospacing="0" w:afterAutospacing="0" w:line="620"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黑体" w:hAnsi="黑体" w:eastAsia="黑体" w:cs="黑体"/>
          <w:kern w:val="2"/>
          <w:sz w:val="32"/>
          <w:szCs w:val="32"/>
          <w:lang w:val="en-US" w:eastAsia="zh-CN" w:bidi="ar"/>
        </w:rPr>
        <w:t>第二十七条</w:t>
      </w:r>
      <w:r>
        <w:rPr>
          <w:rFonts w:hint="default" w:ascii="Times New Roman" w:hAnsi="Times New Roman" w:eastAsia="仿宋_GB2312" w:cs="Times New Roman"/>
          <w:kern w:val="2"/>
          <w:sz w:val="32"/>
          <w:szCs w:val="32"/>
          <w:lang w:val="en-US" w:eastAsia="zh-CN" w:bidi="ar"/>
        </w:rPr>
        <w:t xml:space="preserve">  管委会工作人员在工作中徇私舞弊、滥用职权、玩忽职守的，依法追究责任。</w:t>
      </w:r>
    </w:p>
    <w:p>
      <w:pPr>
        <w:keepNext w:val="0"/>
        <w:keepLines w:val="0"/>
        <w:pageBreakBefore w:val="0"/>
        <w:widowControl w:val="0"/>
        <w:suppressLineNumbers w:val="0"/>
        <w:kinsoku/>
        <w:wordWrap w:val="0"/>
        <w:overflowPunct/>
        <w:topLinePunct w:val="0"/>
        <w:autoSpaceDE/>
        <w:autoSpaceDN/>
        <w:bidi w:val="0"/>
        <w:adjustRightInd w:val="0"/>
        <w:snapToGrid w:val="0"/>
        <w:spacing w:beforeAutospacing="0" w:afterAutospacing="0" w:line="62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lang w:val="en-US"/>
        </w:rPr>
      </w:pPr>
      <w:r>
        <w:rPr>
          <w:rFonts w:hint="default" w:ascii="黑体" w:hAnsi="黑体" w:eastAsia="黑体" w:cs="黑体"/>
          <w:kern w:val="2"/>
          <w:sz w:val="32"/>
          <w:szCs w:val="32"/>
          <w:lang w:val="en-US" w:eastAsia="zh-CN" w:bidi="ar"/>
        </w:rPr>
        <w:t>第二十八条</w:t>
      </w:r>
      <w:r>
        <w:rPr>
          <w:rFonts w:hint="default" w:ascii="Times New Roman" w:hAnsi="Times New Roman" w:eastAsia="仿宋_GB2312" w:cs="Times New Roman"/>
          <w:kern w:val="2"/>
          <w:sz w:val="32"/>
          <w:szCs w:val="32"/>
          <w:lang w:val="en-US" w:eastAsia="zh-CN" w:bidi="ar"/>
        </w:rPr>
        <w:t xml:space="preserve">  经国务院、省人民政府批准在经开区管辖范围内设立的特殊功能区域和经省、市人民政府批准纳入经开区规划控制的其他区域内的组织和个人参照本条例执行。</w:t>
      </w:r>
    </w:p>
    <w:p>
      <w:pPr>
        <w:keepNext w:val="0"/>
        <w:keepLines w:val="0"/>
        <w:pageBreakBefore w:val="0"/>
        <w:widowControl w:val="0"/>
        <w:suppressLineNumbers w:val="0"/>
        <w:kinsoku/>
        <w:wordWrap w:val="0"/>
        <w:overflowPunct/>
        <w:topLinePunct w:val="0"/>
        <w:autoSpaceDE/>
        <w:autoSpaceDN/>
        <w:bidi w:val="0"/>
        <w:adjustRightInd w:val="0"/>
        <w:snapToGrid w:val="0"/>
        <w:spacing w:beforeAutospacing="0" w:afterAutospacing="0" w:line="62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黑体" w:hAnsi="黑体" w:eastAsia="黑体" w:cs="黑体"/>
          <w:kern w:val="2"/>
          <w:sz w:val="32"/>
          <w:szCs w:val="32"/>
          <w:lang w:val="en-US" w:eastAsia="zh-CN" w:bidi="ar"/>
        </w:rPr>
        <w:t>第二十九条</w:t>
      </w:r>
      <w:r>
        <w:rPr>
          <w:rFonts w:hint="default" w:ascii="Times New Roman" w:hAnsi="Times New Roman" w:eastAsia="仿宋_GB2312" w:cs="Times New Roman"/>
          <w:color w:val="000000"/>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本条例自2014年12月1日起施行。</w:t>
      </w:r>
    </w:p>
    <w:sectPr>
      <w:headerReference r:id="rId3" w:type="default"/>
      <w:footerReference r:id="rId4" w:type="default"/>
      <w:pgSz w:w="11906" w:h="16838"/>
      <w:pgMar w:top="1928" w:right="1587" w:bottom="1871" w:left="1587" w:header="1417" w:footer="1531" w:gutter="0"/>
      <w:paperSrc/>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Yw4Gm0QAAAAUBAAAPAAAAAAAAAAEAIAAAACIA&#10;AABkcnMvZG93bnJldi54bWxQSwECFAAUAAAACACHTuJAFqF2HtcBAACUAwAADgAAAAAAAAABACAA&#10;AAAgAQAAZHJzL2Uyb0RvYy54bWxQSwUGAAAAAAYABgBZAQAAaQU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4513D5"/>
    <w:rsid w:val="046A3C26"/>
    <w:rsid w:val="0B066605"/>
    <w:rsid w:val="148B12E6"/>
    <w:rsid w:val="16CB4C65"/>
    <w:rsid w:val="17C23DD5"/>
    <w:rsid w:val="20AD0DDC"/>
    <w:rsid w:val="225550FB"/>
    <w:rsid w:val="249D7763"/>
    <w:rsid w:val="287C1F2D"/>
    <w:rsid w:val="28E32BD6"/>
    <w:rsid w:val="29D82DCD"/>
    <w:rsid w:val="2C012C6C"/>
    <w:rsid w:val="2EE22BAC"/>
    <w:rsid w:val="31AD425E"/>
    <w:rsid w:val="32833AE5"/>
    <w:rsid w:val="348449E0"/>
    <w:rsid w:val="368407FC"/>
    <w:rsid w:val="3698736B"/>
    <w:rsid w:val="38934A3A"/>
    <w:rsid w:val="392C48A8"/>
    <w:rsid w:val="396F0ECA"/>
    <w:rsid w:val="3CE27A28"/>
    <w:rsid w:val="3CE35465"/>
    <w:rsid w:val="3DD9098B"/>
    <w:rsid w:val="3F373EEE"/>
    <w:rsid w:val="418E5EE8"/>
    <w:rsid w:val="43E95A0D"/>
    <w:rsid w:val="45EA038E"/>
    <w:rsid w:val="4B57683E"/>
    <w:rsid w:val="4BCB413B"/>
    <w:rsid w:val="4C1C3022"/>
    <w:rsid w:val="4C2A39DB"/>
    <w:rsid w:val="501C0DB6"/>
    <w:rsid w:val="560D6456"/>
    <w:rsid w:val="574513D5"/>
    <w:rsid w:val="5BA37C48"/>
    <w:rsid w:val="5D225A50"/>
    <w:rsid w:val="611F1699"/>
    <w:rsid w:val="6380597F"/>
    <w:rsid w:val="654060F8"/>
    <w:rsid w:val="65FC1629"/>
    <w:rsid w:val="686E2422"/>
    <w:rsid w:val="6D24784E"/>
    <w:rsid w:val="7132728C"/>
    <w:rsid w:val="725B5B76"/>
    <w:rsid w:val="735B538B"/>
    <w:rsid w:val="73823A80"/>
    <w:rsid w:val="74D2732F"/>
    <w:rsid w:val="792D12F8"/>
    <w:rsid w:val="79B574EC"/>
    <w:rsid w:val="7D0608E0"/>
    <w:rsid w:val="7D6F4A8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5"/>
      <w:tblLayout w:type="fixed"/>
      <w:tblCellMar>
        <w:top w:w="0" w:type="dxa"/>
        <w:left w:w="108" w:type="dxa"/>
        <w:bottom w:w="0" w:type="dxa"/>
        <w:right w:w="108" w:type="dxa"/>
      </w:tblCellMar>
    </w:tblPr>
    <w:tcPr>
      <w:textDirection w:val="lrTb"/>
    </w:tcPr>
  </w:style>
  <w:style w:type="paragraph" w:styleId="2">
    <w:name w:val="footer"/>
    <w:basedOn w:val="1"/>
    <w:link w:val="7"/>
    <w:uiPriority w:val="0"/>
    <w:pPr>
      <w:tabs>
        <w:tab w:val="center" w:pos="4153"/>
        <w:tab w:val="right" w:pos="8306"/>
      </w:tabs>
      <w:snapToGrid w:val="0"/>
      <w:jc w:val="left"/>
    </w:pPr>
    <w:rPr>
      <w:sz w:val="18"/>
    </w:rPr>
  </w:style>
  <w:style w:type="paragraph" w:styleId="3">
    <w:name w:val="header"/>
    <w:basedOn w:val="1"/>
    <w:link w:val="6"/>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6">
    <w:name w:val="页眉 Char Char"/>
    <w:basedOn w:val="4"/>
    <w:link w:val="3"/>
    <w:uiPriority w:val="0"/>
    <w:rPr>
      <w:sz w:val="18"/>
      <w:szCs w:val="18"/>
      <w:lang w:bidi="ar"/>
    </w:rPr>
  </w:style>
  <w:style w:type="character" w:customStyle="1" w:styleId="7">
    <w:name w:val="页脚 Char Char"/>
    <w:basedOn w:val="4"/>
    <w:link w:val="2"/>
    <w:uiPriority w:val="0"/>
    <w:rPr>
      <w:sz w:val="18"/>
      <w:szCs w:val="18"/>
      <w:lang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2016-10-13T08:44:00Z</dcterms:created>
  <dc:creator>Administrator</dc:creator>
  <cp:lastModifiedBy>Administrator</cp:lastModifiedBy>
  <cp:lastPrinted>2016-10-13T08:50:40Z</cp:lastPrinted>
  <dcterms:modified xsi:type="dcterms:W3CDTF">2017-01-09T11:49:09Z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