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opLinePunct/>
        <w:adjustRightInd w:val="0"/>
        <w:snapToGrid w:val="0"/>
        <w:spacing w:line="592" w:lineRule="exact"/>
        <w:ind w:firstLine="200"/>
        <w:jc w:val="both"/>
        <w:rPr>
          <w:rFonts w:ascii="宋体" w:hAnsi="宋体" w:eastAsia="仿宋_GB2312"/>
          <w:snapToGrid w:val="0"/>
        </w:rPr>
      </w:pPr>
    </w:p>
    <w:p>
      <w:pPr>
        <w:pStyle w:val="7"/>
        <w:topLinePunct/>
        <w:adjustRightInd w:val="0"/>
        <w:snapToGrid w:val="0"/>
        <w:spacing w:line="592" w:lineRule="exact"/>
        <w:ind w:firstLine="200"/>
        <w:jc w:val="both"/>
        <w:rPr>
          <w:rFonts w:ascii="宋体" w:hAnsi="宋体" w:eastAsia="仿宋_GB2312"/>
          <w:snapToGrid w:val="0"/>
        </w:rPr>
      </w:pPr>
    </w:p>
    <w:p>
      <w:pPr>
        <w:topLinePunct/>
        <w:adjustRightInd w:val="0"/>
        <w:snapToGrid w:val="0"/>
        <w:spacing w:line="592" w:lineRule="exact"/>
        <w:jc w:val="center"/>
        <w:rPr>
          <w:rFonts w:ascii="宋体"/>
          <w:snapToGrid w:val="0"/>
          <w:color w:val="000000"/>
          <w:sz w:val="44"/>
          <w:szCs w:val="44"/>
        </w:rPr>
      </w:pPr>
      <w:r>
        <w:rPr>
          <w:rFonts w:hint="eastAsia" w:ascii="宋体" w:hAnsi="宋体"/>
          <w:snapToGrid w:val="0"/>
          <w:color w:val="000000"/>
          <w:sz w:val="44"/>
          <w:szCs w:val="44"/>
        </w:rPr>
        <w:t>曲靖市多元化解纠纷促进条例</w:t>
      </w:r>
    </w:p>
    <w:p>
      <w:pPr>
        <w:pStyle w:val="7"/>
        <w:topLinePunct/>
        <w:adjustRightInd w:val="0"/>
        <w:snapToGrid w:val="0"/>
        <w:spacing w:line="592" w:lineRule="exact"/>
        <w:rPr>
          <w:rFonts w:ascii="宋体" w:eastAsia="宋体"/>
          <w:snapToGrid w:val="0"/>
        </w:rPr>
      </w:pPr>
    </w:p>
    <w:p>
      <w:pPr>
        <w:shd w:val="clear" w:color="auto" w:fill="FFFFFF"/>
        <w:topLinePunct/>
        <w:adjustRightInd w:val="0"/>
        <w:snapToGrid w:val="0"/>
        <w:spacing w:line="592" w:lineRule="exact"/>
        <w:ind w:left="420" w:leftChars="200" w:right="420" w:rightChars="200"/>
        <w:jc w:val="left"/>
        <w:rPr>
          <w:rFonts w:ascii="宋体" w:hAnsi="宋体" w:eastAsia="楷体_GB2312"/>
          <w:snapToGrid w:val="0"/>
          <w:color w:val="000000"/>
          <w:sz w:val="32"/>
          <w:szCs w:val="32"/>
        </w:rPr>
      </w:pPr>
      <w:r>
        <w:rPr>
          <w:rFonts w:hint="eastAsia" w:ascii="宋体" w:hAnsi="宋体" w:eastAsia="楷体_GB2312"/>
          <w:snapToGrid w:val="0"/>
          <w:color w:val="000000"/>
          <w:sz w:val="32"/>
          <w:szCs w:val="32"/>
        </w:rPr>
        <w:t>（</w:t>
      </w:r>
      <w:r>
        <w:rPr>
          <w:rFonts w:ascii="宋体" w:hAnsi="宋体" w:eastAsia="楷体_GB2312"/>
          <w:snapToGrid w:val="0"/>
          <w:color w:val="000000"/>
          <w:sz w:val="32"/>
          <w:szCs w:val="32"/>
        </w:rPr>
        <w:t>2021</w:t>
      </w:r>
      <w:r>
        <w:rPr>
          <w:rFonts w:hint="eastAsia" w:ascii="宋体" w:hAnsi="宋体" w:eastAsia="楷体_GB2312"/>
          <w:snapToGrid w:val="0"/>
          <w:color w:val="000000"/>
          <w:sz w:val="32"/>
          <w:szCs w:val="32"/>
        </w:rPr>
        <w:t>年</w:t>
      </w:r>
      <w:r>
        <w:rPr>
          <w:rFonts w:ascii="宋体" w:hAnsi="宋体" w:eastAsia="楷体_GB2312"/>
          <w:snapToGrid w:val="0"/>
          <w:color w:val="000000"/>
          <w:sz w:val="32"/>
          <w:szCs w:val="32"/>
        </w:rPr>
        <w:t>12</w:t>
      </w:r>
      <w:r>
        <w:rPr>
          <w:rFonts w:hint="eastAsia" w:ascii="宋体" w:hAnsi="宋体" w:eastAsia="楷体_GB2312"/>
          <w:snapToGrid w:val="0"/>
          <w:color w:val="000000"/>
          <w:sz w:val="32"/>
          <w:szCs w:val="32"/>
        </w:rPr>
        <w:t>月</w:t>
      </w:r>
      <w:r>
        <w:rPr>
          <w:rFonts w:ascii="宋体" w:hAnsi="宋体" w:eastAsia="楷体_GB2312"/>
          <w:snapToGrid w:val="0"/>
          <w:color w:val="000000"/>
          <w:sz w:val="32"/>
          <w:szCs w:val="32"/>
        </w:rPr>
        <w:t>14</w:t>
      </w:r>
      <w:r>
        <w:rPr>
          <w:rFonts w:hint="eastAsia" w:ascii="宋体" w:hAnsi="宋体" w:eastAsia="楷体_GB2312"/>
          <w:snapToGrid w:val="0"/>
          <w:color w:val="000000"/>
          <w:sz w:val="32"/>
          <w:szCs w:val="32"/>
        </w:rPr>
        <w:t>日曲靖市第五届人民代表大会常务委员会第二十八次会议通过</w:t>
      </w:r>
      <w:r>
        <w:rPr>
          <w:rFonts w:ascii="宋体" w:hAnsi="宋体" w:eastAsia="楷体_GB2312"/>
          <w:snapToGrid w:val="0"/>
          <w:color w:val="000000"/>
          <w:sz w:val="32"/>
          <w:szCs w:val="32"/>
        </w:rPr>
        <w:t xml:space="preserve">  2022</w:t>
      </w:r>
      <w:r>
        <w:rPr>
          <w:rFonts w:hint="eastAsia" w:ascii="宋体" w:hAnsi="宋体" w:eastAsia="楷体_GB2312"/>
          <w:snapToGrid w:val="0"/>
          <w:color w:val="000000"/>
          <w:sz w:val="32"/>
          <w:szCs w:val="32"/>
        </w:rPr>
        <w:t>年</w:t>
      </w:r>
      <w:r>
        <w:rPr>
          <w:rFonts w:ascii="宋体" w:hAnsi="宋体" w:eastAsia="楷体_GB2312"/>
          <w:snapToGrid w:val="0"/>
          <w:color w:val="000000"/>
          <w:sz w:val="32"/>
          <w:szCs w:val="32"/>
        </w:rPr>
        <w:t>1</w:t>
      </w:r>
      <w:r>
        <w:rPr>
          <w:rFonts w:hint="eastAsia" w:ascii="宋体" w:hAnsi="宋体" w:eastAsia="楷体_GB2312"/>
          <w:snapToGrid w:val="0"/>
          <w:color w:val="000000"/>
          <w:sz w:val="32"/>
          <w:szCs w:val="32"/>
        </w:rPr>
        <w:t>月</w:t>
      </w:r>
      <w:r>
        <w:rPr>
          <w:rFonts w:ascii="宋体" w:hAnsi="宋体" w:eastAsia="楷体_GB2312"/>
          <w:snapToGrid w:val="0"/>
          <w:color w:val="000000"/>
          <w:sz w:val="32"/>
          <w:szCs w:val="32"/>
        </w:rPr>
        <w:t>17</w:t>
      </w:r>
      <w:r>
        <w:rPr>
          <w:rFonts w:hint="eastAsia" w:ascii="宋体" w:hAnsi="宋体" w:eastAsia="楷体_GB2312"/>
          <w:snapToGrid w:val="0"/>
          <w:color w:val="000000"/>
          <w:sz w:val="32"/>
          <w:szCs w:val="32"/>
        </w:rPr>
        <w:t>日云南省第十三届人民代表大会常务委员会第二十八次会议批准）</w:t>
      </w:r>
    </w:p>
    <w:p>
      <w:pPr>
        <w:topLinePunct/>
        <w:adjustRightInd w:val="0"/>
        <w:snapToGrid w:val="0"/>
        <w:spacing w:line="592" w:lineRule="exact"/>
        <w:jc w:val="center"/>
        <w:rPr>
          <w:rFonts w:ascii="宋体" w:hAnsi="宋体" w:eastAsia="方正仿宋_GBK" w:cs="方正仿宋_GBK"/>
          <w:snapToGrid w:val="0"/>
          <w:sz w:val="32"/>
          <w:szCs w:val="32"/>
        </w:rPr>
      </w:pPr>
    </w:p>
    <w:p>
      <w:pPr>
        <w:topLinePunct/>
        <w:adjustRightInd w:val="0"/>
        <w:snapToGrid w:val="0"/>
        <w:spacing w:line="592" w:lineRule="exact"/>
        <w:jc w:val="center"/>
        <w:rPr>
          <w:rFonts w:ascii="宋体" w:hAnsi="宋体" w:eastAsia="楷体_GB2312"/>
          <w:snapToGrid w:val="0"/>
          <w:sz w:val="32"/>
          <w:szCs w:val="32"/>
        </w:rPr>
      </w:pPr>
      <w:r>
        <w:rPr>
          <w:rFonts w:hint="eastAsia" w:ascii="宋体" w:hAnsi="宋体" w:eastAsia="楷体_GB2312"/>
          <w:snapToGrid w:val="0"/>
          <w:sz w:val="32"/>
          <w:szCs w:val="32"/>
        </w:rPr>
        <w:t>目</w:t>
      </w:r>
      <w:r>
        <w:rPr>
          <w:rFonts w:ascii="宋体" w:hAnsi="宋体" w:eastAsia="楷体_GB2312"/>
          <w:snapToGrid w:val="0"/>
          <w:sz w:val="32"/>
          <w:szCs w:val="32"/>
        </w:rPr>
        <w:t xml:space="preserve">  </w:t>
      </w:r>
      <w:r>
        <w:rPr>
          <w:rFonts w:hint="eastAsia" w:ascii="宋体" w:hAnsi="宋体" w:eastAsia="楷体_GB2312"/>
          <w:snapToGrid w:val="0"/>
          <w:sz w:val="32"/>
          <w:szCs w:val="32"/>
        </w:rPr>
        <w:t>录</w:t>
      </w:r>
    </w:p>
    <w:p>
      <w:pPr>
        <w:topLinePunct/>
        <w:adjustRightInd w:val="0"/>
        <w:snapToGrid w:val="0"/>
        <w:spacing w:line="592" w:lineRule="exact"/>
        <w:ind w:firstLine="640" w:firstLineChars="200"/>
        <w:jc w:val="left"/>
        <w:rPr>
          <w:rFonts w:ascii="宋体" w:hAnsi="宋体" w:eastAsia="楷体_GB2312" w:cs="方正楷体_GBK"/>
          <w:snapToGrid w:val="0"/>
          <w:sz w:val="32"/>
          <w:szCs w:val="32"/>
        </w:rPr>
      </w:pPr>
      <w:r>
        <w:rPr>
          <w:rFonts w:hint="eastAsia" w:ascii="宋体" w:hAnsi="宋体" w:eastAsia="楷体_GB2312" w:cs="方正楷体_GBK"/>
          <w:snapToGrid w:val="0"/>
          <w:sz w:val="32"/>
          <w:szCs w:val="32"/>
        </w:rPr>
        <w:t>第一章</w:t>
      </w:r>
      <w:r>
        <w:rPr>
          <w:rFonts w:ascii="宋体" w:hAnsi="宋体" w:eastAsia="楷体_GB2312" w:cs="方正楷体_GBK"/>
          <w:snapToGrid w:val="0"/>
          <w:sz w:val="32"/>
          <w:szCs w:val="32"/>
        </w:rPr>
        <w:t xml:space="preserve">  </w:t>
      </w:r>
      <w:r>
        <w:rPr>
          <w:rFonts w:hint="eastAsia" w:ascii="宋体" w:hAnsi="宋体" w:eastAsia="楷体_GB2312" w:cs="方正楷体_GBK"/>
          <w:snapToGrid w:val="0"/>
          <w:sz w:val="32"/>
          <w:szCs w:val="32"/>
        </w:rPr>
        <w:t>总</w:t>
      </w:r>
      <w:r>
        <w:rPr>
          <w:rFonts w:ascii="宋体" w:hAnsi="宋体" w:eastAsia="楷体_GB2312" w:cs="方正楷体_GBK"/>
          <w:snapToGrid w:val="0"/>
          <w:sz w:val="32"/>
          <w:szCs w:val="32"/>
        </w:rPr>
        <w:t xml:space="preserve">  </w:t>
      </w:r>
      <w:r>
        <w:rPr>
          <w:rFonts w:hint="eastAsia" w:ascii="宋体" w:hAnsi="宋体" w:eastAsia="楷体_GB2312" w:cs="方正楷体_GBK"/>
          <w:snapToGrid w:val="0"/>
          <w:sz w:val="32"/>
          <w:szCs w:val="32"/>
        </w:rPr>
        <w:t>则</w:t>
      </w:r>
    </w:p>
    <w:p>
      <w:pPr>
        <w:topLinePunct/>
        <w:adjustRightInd w:val="0"/>
        <w:snapToGrid w:val="0"/>
        <w:spacing w:line="592" w:lineRule="exact"/>
        <w:ind w:firstLine="640" w:firstLineChars="200"/>
        <w:jc w:val="left"/>
        <w:rPr>
          <w:rFonts w:ascii="宋体" w:hAnsi="宋体" w:eastAsia="楷体_GB2312" w:cs="方正楷体_GBK"/>
          <w:snapToGrid w:val="0"/>
          <w:sz w:val="32"/>
          <w:szCs w:val="32"/>
        </w:rPr>
      </w:pPr>
      <w:r>
        <w:rPr>
          <w:rFonts w:hint="eastAsia" w:ascii="宋体" w:hAnsi="宋体" w:eastAsia="楷体_GB2312" w:cs="方正楷体_GBK"/>
          <w:snapToGrid w:val="0"/>
          <w:sz w:val="32"/>
          <w:szCs w:val="32"/>
        </w:rPr>
        <w:t>第二章</w:t>
      </w:r>
      <w:r>
        <w:rPr>
          <w:rFonts w:ascii="宋体" w:hAnsi="宋体" w:eastAsia="楷体_GB2312" w:cs="方正楷体_GBK"/>
          <w:snapToGrid w:val="0"/>
          <w:sz w:val="32"/>
          <w:szCs w:val="32"/>
        </w:rPr>
        <w:t xml:space="preserve">  </w:t>
      </w:r>
      <w:r>
        <w:rPr>
          <w:rFonts w:hint="eastAsia" w:ascii="宋体" w:hAnsi="宋体" w:eastAsia="楷体_GB2312" w:cs="方正楷体_GBK"/>
          <w:snapToGrid w:val="0"/>
          <w:sz w:val="32"/>
          <w:szCs w:val="32"/>
        </w:rPr>
        <w:t>和解与调解</w:t>
      </w:r>
    </w:p>
    <w:p>
      <w:pPr>
        <w:topLinePunct/>
        <w:adjustRightInd w:val="0"/>
        <w:snapToGrid w:val="0"/>
        <w:spacing w:line="592" w:lineRule="exact"/>
        <w:ind w:firstLine="640" w:firstLineChars="200"/>
        <w:jc w:val="left"/>
        <w:rPr>
          <w:rFonts w:ascii="宋体" w:hAnsi="宋体" w:eastAsia="楷体_GB2312" w:cs="方正楷体_GBK"/>
          <w:snapToGrid w:val="0"/>
          <w:sz w:val="32"/>
          <w:szCs w:val="32"/>
        </w:rPr>
      </w:pPr>
      <w:r>
        <w:rPr>
          <w:rFonts w:hint="eastAsia" w:ascii="宋体" w:hAnsi="宋体" w:eastAsia="楷体_GB2312" w:cs="方正楷体_GBK"/>
          <w:snapToGrid w:val="0"/>
          <w:sz w:val="32"/>
          <w:szCs w:val="32"/>
        </w:rPr>
        <w:t>第三章</w:t>
      </w:r>
      <w:r>
        <w:rPr>
          <w:rFonts w:ascii="宋体" w:hAnsi="宋体" w:eastAsia="楷体_GB2312" w:cs="方正楷体_GBK"/>
          <w:snapToGrid w:val="0"/>
          <w:sz w:val="32"/>
          <w:szCs w:val="32"/>
        </w:rPr>
        <w:t xml:space="preserve">  </w:t>
      </w:r>
      <w:r>
        <w:rPr>
          <w:rFonts w:hint="eastAsia" w:ascii="宋体" w:hAnsi="宋体" w:eastAsia="楷体_GB2312" w:cs="方正楷体_GBK"/>
          <w:snapToGrid w:val="0"/>
          <w:sz w:val="32"/>
          <w:szCs w:val="32"/>
        </w:rPr>
        <w:t>仲裁与公证</w:t>
      </w:r>
    </w:p>
    <w:p>
      <w:pPr>
        <w:topLinePunct/>
        <w:adjustRightInd w:val="0"/>
        <w:snapToGrid w:val="0"/>
        <w:spacing w:line="592" w:lineRule="exact"/>
        <w:ind w:firstLine="640" w:firstLineChars="200"/>
        <w:jc w:val="left"/>
        <w:rPr>
          <w:rFonts w:ascii="宋体" w:hAnsi="宋体" w:eastAsia="楷体_GB2312" w:cs="方正楷体_GBK"/>
          <w:snapToGrid w:val="0"/>
          <w:sz w:val="32"/>
          <w:szCs w:val="32"/>
        </w:rPr>
      </w:pPr>
      <w:r>
        <w:rPr>
          <w:rFonts w:hint="eastAsia" w:ascii="宋体" w:hAnsi="宋体" w:eastAsia="楷体_GB2312" w:cs="方正楷体_GBK"/>
          <w:snapToGrid w:val="0"/>
          <w:sz w:val="32"/>
          <w:szCs w:val="32"/>
        </w:rPr>
        <w:t>第四章</w:t>
      </w:r>
      <w:r>
        <w:rPr>
          <w:rFonts w:ascii="宋体" w:hAnsi="宋体" w:eastAsia="楷体_GB2312" w:cs="方正楷体_GBK"/>
          <w:snapToGrid w:val="0"/>
          <w:sz w:val="32"/>
          <w:szCs w:val="32"/>
        </w:rPr>
        <w:t xml:space="preserve">  </w:t>
      </w:r>
      <w:r>
        <w:rPr>
          <w:rFonts w:hint="eastAsia" w:ascii="宋体" w:hAnsi="宋体" w:eastAsia="楷体_GB2312" w:cs="方正楷体_GBK"/>
          <w:snapToGrid w:val="0"/>
          <w:sz w:val="32"/>
          <w:szCs w:val="32"/>
        </w:rPr>
        <w:t>行政调解、行政裁决与行政复议</w:t>
      </w:r>
    </w:p>
    <w:p>
      <w:pPr>
        <w:topLinePunct/>
        <w:adjustRightInd w:val="0"/>
        <w:snapToGrid w:val="0"/>
        <w:spacing w:line="592" w:lineRule="exact"/>
        <w:ind w:firstLine="640" w:firstLineChars="200"/>
        <w:jc w:val="left"/>
        <w:rPr>
          <w:rFonts w:ascii="宋体" w:hAnsi="宋体" w:eastAsia="楷体_GB2312" w:cs="方正楷体_GBK"/>
          <w:snapToGrid w:val="0"/>
          <w:sz w:val="32"/>
          <w:szCs w:val="32"/>
        </w:rPr>
      </w:pPr>
      <w:r>
        <w:rPr>
          <w:rFonts w:hint="eastAsia" w:ascii="宋体" w:hAnsi="宋体" w:eastAsia="楷体_GB2312" w:cs="方正楷体_GBK"/>
          <w:snapToGrid w:val="0"/>
          <w:sz w:val="32"/>
          <w:szCs w:val="32"/>
        </w:rPr>
        <w:t>第五章</w:t>
      </w:r>
      <w:r>
        <w:rPr>
          <w:rFonts w:ascii="宋体" w:hAnsi="宋体" w:eastAsia="楷体_GB2312" w:cs="方正楷体_GBK"/>
          <w:snapToGrid w:val="0"/>
          <w:sz w:val="32"/>
          <w:szCs w:val="32"/>
        </w:rPr>
        <w:t xml:space="preserve">  </w:t>
      </w:r>
      <w:r>
        <w:rPr>
          <w:rFonts w:hint="eastAsia" w:ascii="宋体" w:hAnsi="宋体" w:eastAsia="楷体_GB2312" w:cs="方正楷体_GBK"/>
          <w:snapToGrid w:val="0"/>
          <w:sz w:val="32"/>
          <w:szCs w:val="32"/>
        </w:rPr>
        <w:t>程序衔接</w:t>
      </w:r>
    </w:p>
    <w:p>
      <w:pPr>
        <w:topLinePunct/>
        <w:adjustRightInd w:val="0"/>
        <w:snapToGrid w:val="0"/>
        <w:spacing w:line="592" w:lineRule="exact"/>
        <w:ind w:firstLine="640" w:firstLineChars="200"/>
        <w:jc w:val="left"/>
        <w:rPr>
          <w:rFonts w:ascii="宋体" w:hAnsi="宋体" w:eastAsia="楷体_GB2312" w:cs="方正楷体_GBK"/>
          <w:snapToGrid w:val="0"/>
          <w:sz w:val="32"/>
          <w:szCs w:val="32"/>
        </w:rPr>
      </w:pPr>
      <w:r>
        <w:rPr>
          <w:rFonts w:hint="eastAsia" w:ascii="宋体" w:hAnsi="宋体" w:eastAsia="楷体_GB2312" w:cs="方正楷体_GBK"/>
          <w:snapToGrid w:val="0"/>
          <w:sz w:val="32"/>
          <w:szCs w:val="32"/>
        </w:rPr>
        <w:t>第六章</w:t>
      </w:r>
      <w:r>
        <w:rPr>
          <w:rFonts w:ascii="宋体" w:hAnsi="宋体" w:eastAsia="楷体_GB2312" w:cs="方正楷体_GBK"/>
          <w:snapToGrid w:val="0"/>
          <w:sz w:val="32"/>
          <w:szCs w:val="32"/>
        </w:rPr>
        <w:t xml:space="preserve">  </w:t>
      </w:r>
      <w:r>
        <w:rPr>
          <w:rFonts w:hint="eastAsia" w:ascii="宋体" w:hAnsi="宋体" w:eastAsia="楷体_GB2312" w:cs="方正楷体_GBK"/>
          <w:snapToGrid w:val="0"/>
          <w:sz w:val="32"/>
          <w:szCs w:val="32"/>
        </w:rPr>
        <w:t>保障制度</w:t>
      </w:r>
    </w:p>
    <w:p>
      <w:pPr>
        <w:topLinePunct/>
        <w:adjustRightInd w:val="0"/>
        <w:snapToGrid w:val="0"/>
        <w:spacing w:line="592" w:lineRule="exact"/>
        <w:ind w:firstLine="640" w:firstLineChars="200"/>
        <w:jc w:val="left"/>
        <w:rPr>
          <w:rFonts w:ascii="宋体" w:hAnsi="宋体" w:eastAsia="楷体_GB2312" w:cs="方正楷体_GBK"/>
          <w:snapToGrid w:val="0"/>
          <w:sz w:val="32"/>
          <w:szCs w:val="32"/>
        </w:rPr>
      </w:pPr>
      <w:r>
        <w:rPr>
          <w:rFonts w:hint="eastAsia" w:ascii="宋体" w:hAnsi="宋体" w:eastAsia="楷体_GB2312" w:cs="方正楷体_GBK"/>
          <w:snapToGrid w:val="0"/>
          <w:sz w:val="32"/>
          <w:szCs w:val="32"/>
        </w:rPr>
        <w:t>第七章</w:t>
      </w:r>
      <w:r>
        <w:rPr>
          <w:rFonts w:ascii="宋体" w:hAnsi="宋体" w:eastAsia="楷体_GB2312" w:cs="方正楷体_GBK"/>
          <w:snapToGrid w:val="0"/>
          <w:sz w:val="32"/>
          <w:szCs w:val="32"/>
        </w:rPr>
        <w:t xml:space="preserve">  </w:t>
      </w:r>
      <w:r>
        <w:rPr>
          <w:rFonts w:hint="eastAsia" w:ascii="宋体" w:hAnsi="宋体" w:eastAsia="楷体_GB2312" w:cs="方正楷体_GBK"/>
          <w:snapToGrid w:val="0"/>
          <w:sz w:val="32"/>
          <w:szCs w:val="32"/>
        </w:rPr>
        <w:t>监督管理</w:t>
      </w:r>
    </w:p>
    <w:p>
      <w:pPr>
        <w:topLinePunct/>
        <w:adjustRightInd w:val="0"/>
        <w:snapToGrid w:val="0"/>
        <w:spacing w:line="592" w:lineRule="exact"/>
        <w:ind w:firstLine="640" w:firstLineChars="200"/>
        <w:jc w:val="left"/>
        <w:rPr>
          <w:rFonts w:ascii="宋体" w:hAnsi="宋体" w:eastAsia="楷体_GB2312" w:cs="方正楷体_GBK"/>
          <w:snapToGrid w:val="0"/>
          <w:sz w:val="32"/>
          <w:szCs w:val="32"/>
        </w:rPr>
      </w:pPr>
      <w:r>
        <w:rPr>
          <w:rFonts w:hint="eastAsia" w:ascii="宋体" w:hAnsi="宋体" w:eastAsia="楷体_GB2312" w:cs="方正楷体_GBK"/>
          <w:snapToGrid w:val="0"/>
          <w:sz w:val="32"/>
          <w:szCs w:val="32"/>
        </w:rPr>
        <w:t>第八章</w:t>
      </w:r>
      <w:r>
        <w:rPr>
          <w:rFonts w:ascii="宋体" w:hAnsi="宋体" w:eastAsia="楷体_GB2312" w:cs="方正楷体_GBK"/>
          <w:snapToGrid w:val="0"/>
          <w:sz w:val="32"/>
          <w:szCs w:val="32"/>
        </w:rPr>
        <w:t xml:space="preserve">  </w:t>
      </w:r>
      <w:r>
        <w:rPr>
          <w:rFonts w:hint="eastAsia" w:ascii="宋体" w:hAnsi="宋体" w:eastAsia="楷体_GB2312" w:cs="方正楷体_GBK"/>
          <w:snapToGrid w:val="0"/>
          <w:sz w:val="32"/>
          <w:szCs w:val="32"/>
        </w:rPr>
        <w:t>附</w:t>
      </w:r>
      <w:r>
        <w:rPr>
          <w:rFonts w:ascii="宋体" w:hAnsi="宋体" w:eastAsia="楷体_GB2312" w:cs="方正楷体_GBK"/>
          <w:snapToGrid w:val="0"/>
          <w:sz w:val="32"/>
          <w:szCs w:val="32"/>
        </w:rPr>
        <w:t xml:space="preserve">  </w:t>
      </w:r>
      <w:r>
        <w:rPr>
          <w:rFonts w:hint="eastAsia" w:ascii="宋体" w:hAnsi="宋体" w:eastAsia="楷体_GB2312" w:cs="方正楷体_GBK"/>
          <w:snapToGrid w:val="0"/>
          <w:sz w:val="32"/>
          <w:szCs w:val="32"/>
        </w:rPr>
        <w:t>则</w:t>
      </w:r>
    </w:p>
    <w:p>
      <w:pPr>
        <w:topLinePunct/>
        <w:adjustRightInd w:val="0"/>
        <w:snapToGrid w:val="0"/>
        <w:spacing w:line="592" w:lineRule="exact"/>
        <w:jc w:val="left"/>
        <w:rPr>
          <w:rFonts w:ascii="宋体" w:hAnsi="宋体" w:eastAsia="楷体_GB2312" w:cs="方正楷体_GBK"/>
          <w:snapToGrid w:val="0"/>
          <w:sz w:val="32"/>
          <w:szCs w:val="32"/>
        </w:rPr>
      </w:pPr>
    </w:p>
    <w:p>
      <w:pPr>
        <w:topLinePunct/>
        <w:adjustRightInd w:val="0"/>
        <w:snapToGrid w:val="0"/>
        <w:spacing w:line="592" w:lineRule="exact"/>
        <w:jc w:val="center"/>
        <w:rPr>
          <w:rFonts w:ascii="宋体" w:hAnsi="宋体" w:eastAsia="黑体" w:cs="黑体"/>
          <w:snapToGrid w:val="0"/>
          <w:sz w:val="32"/>
          <w:szCs w:val="32"/>
        </w:rPr>
      </w:pPr>
      <w:r>
        <w:rPr>
          <w:rFonts w:hint="eastAsia" w:ascii="宋体" w:hAnsi="宋体" w:eastAsia="黑体" w:cs="黑体"/>
          <w:snapToGrid w:val="0"/>
          <w:sz w:val="32"/>
          <w:szCs w:val="32"/>
        </w:rPr>
        <w:t>第一章</w:t>
      </w:r>
      <w:r>
        <w:rPr>
          <w:rFonts w:ascii="宋体" w:hAnsi="宋体" w:eastAsia="黑体" w:cs="黑体"/>
          <w:snapToGrid w:val="0"/>
          <w:sz w:val="32"/>
          <w:szCs w:val="32"/>
        </w:rPr>
        <w:t xml:space="preserve">  </w:t>
      </w:r>
      <w:r>
        <w:rPr>
          <w:rFonts w:hint="eastAsia" w:ascii="宋体" w:hAnsi="宋体" w:eastAsia="黑体" w:cs="黑体"/>
          <w:snapToGrid w:val="0"/>
          <w:sz w:val="32"/>
          <w:szCs w:val="32"/>
        </w:rPr>
        <w:t>总</w:t>
      </w:r>
      <w:r>
        <w:rPr>
          <w:rFonts w:ascii="宋体" w:hAnsi="宋体" w:eastAsia="黑体" w:cs="黑体"/>
          <w:snapToGrid w:val="0"/>
          <w:sz w:val="32"/>
          <w:szCs w:val="32"/>
        </w:rPr>
        <w:t xml:space="preserve">  </w:t>
      </w:r>
      <w:r>
        <w:rPr>
          <w:rFonts w:hint="eastAsia" w:ascii="宋体" w:hAnsi="宋体" w:eastAsia="黑体" w:cs="黑体"/>
          <w:snapToGrid w:val="0"/>
          <w:sz w:val="32"/>
          <w:szCs w:val="32"/>
        </w:rPr>
        <w:t>则</w:t>
      </w:r>
    </w:p>
    <w:p>
      <w:pPr>
        <w:topLinePunct/>
        <w:adjustRightInd w:val="0"/>
        <w:snapToGrid w:val="0"/>
        <w:spacing w:line="592" w:lineRule="exact"/>
        <w:jc w:val="center"/>
        <w:rPr>
          <w:rFonts w:ascii="宋体" w:hAnsi="宋体" w:eastAsia="黑体" w:cs="黑体"/>
          <w:snapToGrid w:val="0"/>
          <w:sz w:val="32"/>
          <w:szCs w:val="32"/>
        </w:rPr>
      </w:pP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黑体" w:hAnsi="黑体" w:eastAsia="黑体" w:cs="黑体"/>
          <w:snapToGrid w:val="0"/>
          <w:sz w:val="32"/>
          <w:szCs w:val="32"/>
        </w:rPr>
        <w:t>第一条</w:t>
      </w:r>
      <w:r>
        <w:rPr>
          <w:rFonts w:ascii="宋体" w:hAnsi="宋体" w:eastAsia="方正仿宋简体"/>
          <w:snapToGrid w:val="0"/>
          <w:sz w:val="32"/>
          <w:szCs w:val="32"/>
        </w:rPr>
        <w:t xml:space="preserve">  </w:t>
      </w:r>
      <w:r>
        <w:rPr>
          <w:rFonts w:hint="eastAsia" w:ascii="宋体" w:hAnsi="宋体" w:eastAsia="仿宋_GB2312"/>
          <w:snapToGrid w:val="0"/>
          <w:sz w:val="32"/>
          <w:szCs w:val="32"/>
        </w:rPr>
        <w:t>为了规范和促进多元化解纠纷工作，保障当事人合法权益，维护社会和谐稳定，推进社会</w:t>
      </w:r>
      <w:bookmarkStart w:id="0" w:name="_GoBack"/>
      <w:bookmarkEnd w:id="0"/>
      <w:r>
        <w:rPr>
          <w:rFonts w:hint="eastAsia" w:ascii="宋体" w:hAnsi="宋体" w:eastAsia="仿宋_GB2312"/>
          <w:snapToGrid w:val="0"/>
          <w:sz w:val="32"/>
          <w:szCs w:val="32"/>
        </w:rPr>
        <w:t>治理体系与治理能力现代化，根据有关法律、法规规定，结合本市实际，制定本条例。</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黑体" w:hAnsi="黑体" w:eastAsia="黑体" w:cs="黑体"/>
          <w:snapToGrid w:val="0"/>
          <w:sz w:val="32"/>
          <w:szCs w:val="32"/>
        </w:rPr>
        <w:t>第二条</w:t>
      </w:r>
      <w:r>
        <w:rPr>
          <w:rFonts w:ascii="宋体" w:hAnsi="宋体" w:eastAsia="方正仿宋简体"/>
          <w:snapToGrid w:val="0"/>
          <w:sz w:val="32"/>
          <w:szCs w:val="32"/>
        </w:rPr>
        <w:t xml:space="preserve">  </w:t>
      </w:r>
      <w:r>
        <w:rPr>
          <w:rFonts w:hint="eastAsia" w:ascii="宋体" w:hAnsi="宋体" w:eastAsia="仿宋_GB2312"/>
          <w:snapToGrid w:val="0"/>
          <w:sz w:val="32"/>
          <w:szCs w:val="32"/>
        </w:rPr>
        <w:t>本市行政区域内的多元化解纠纷工作和活动，适用本条例。</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本条例所称多元化解纠纷，是指通过和解、调解、公证、仲裁、行政裁决、行政复议、诉讼等方式和途径，形成多方参与、协调配合、衔接联动的纠纷化解体系，为当事人提供便捷、高效的化解纠纷服务。</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黑体" w:hAnsi="黑体" w:eastAsia="黑体" w:cs="黑体"/>
          <w:snapToGrid w:val="0"/>
          <w:sz w:val="32"/>
          <w:szCs w:val="32"/>
        </w:rPr>
        <w:t>第三条</w:t>
      </w:r>
      <w:r>
        <w:rPr>
          <w:rFonts w:ascii="宋体" w:hAnsi="宋体" w:eastAsia="方正仿宋简体"/>
          <w:snapToGrid w:val="0"/>
          <w:sz w:val="32"/>
          <w:szCs w:val="32"/>
        </w:rPr>
        <w:t xml:space="preserve">  </w:t>
      </w:r>
      <w:r>
        <w:rPr>
          <w:rFonts w:hint="eastAsia" w:ascii="宋体" w:hAnsi="宋体" w:eastAsia="仿宋_GB2312"/>
          <w:snapToGrid w:val="0"/>
          <w:sz w:val="32"/>
          <w:szCs w:val="32"/>
        </w:rPr>
        <w:t>多元化解纠纷工作应当遵循下列原则</w:t>
      </w:r>
      <w:r>
        <w:rPr>
          <w:rFonts w:ascii="宋体" w:hAnsi="宋体" w:eastAsia="仿宋_GB2312"/>
          <w:snapToGrid w:val="0"/>
          <w:sz w:val="32"/>
          <w:szCs w:val="32"/>
        </w:rPr>
        <w:t>:</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（一）遵守法律法规、国家政策，尊重公序良俗；</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（二）尊重当事人依法选择纠纷化解途径的意愿；</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（三）和解、调解优先；</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（四）公平、公正、高效、便民；</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（五）预防与化解相结合。</w:t>
      </w:r>
    </w:p>
    <w:p>
      <w:pPr>
        <w:topLinePunct/>
        <w:adjustRightInd w:val="0"/>
        <w:snapToGrid w:val="0"/>
        <w:spacing w:line="592" w:lineRule="exact"/>
        <w:ind w:firstLine="640" w:firstLineChars="200"/>
        <w:rPr>
          <w:rFonts w:ascii="宋体" w:hAnsi="宋体" w:eastAsia="方正仿宋简体"/>
          <w:snapToGrid w:val="0"/>
          <w:sz w:val="32"/>
          <w:szCs w:val="32"/>
        </w:rPr>
      </w:pPr>
      <w:r>
        <w:rPr>
          <w:rFonts w:hint="eastAsia" w:ascii="黑体" w:hAnsi="黑体" w:eastAsia="黑体" w:cs="黑体"/>
          <w:snapToGrid w:val="0"/>
          <w:sz w:val="32"/>
          <w:szCs w:val="32"/>
        </w:rPr>
        <w:t>第四条</w:t>
      </w:r>
      <w:r>
        <w:rPr>
          <w:rFonts w:ascii="宋体" w:hAnsi="宋体" w:eastAsia="方正仿宋简体"/>
          <w:snapToGrid w:val="0"/>
          <w:sz w:val="32"/>
          <w:szCs w:val="32"/>
        </w:rPr>
        <w:t xml:space="preserve">  </w:t>
      </w:r>
      <w:r>
        <w:rPr>
          <w:rFonts w:hint="eastAsia" w:ascii="宋体" w:hAnsi="宋体" w:eastAsia="仿宋_GB2312"/>
          <w:snapToGrid w:val="0"/>
          <w:sz w:val="32"/>
          <w:szCs w:val="32"/>
        </w:rPr>
        <w:t>少数民族聚居的地方在不违反法律法规的情况下，可以按照少数民族风俗习惯开展纠纷化解工作。</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黑体" w:hAnsi="黑体" w:eastAsia="黑体" w:cs="黑体"/>
          <w:snapToGrid w:val="0"/>
          <w:sz w:val="32"/>
          <w:szCs w:val="32"/>
        </w:rPr>
        <w:t>第五条</w:t>
      </w:r>
      <w:r>
        <w:rPr>
          <w:rFonts w:ascii="宋体" w:hAnsi="宋体" w:eastAsia="方正仿宋简体"/>
          <w:snapToGrid w:val="0"/>
          <w:sz w:val="32"/>
          <w:szCs w:val="32"/>
        </w:rPr>
        <w:t xml:space="preserve">  </w:t>
      </w:r>
      <w:r>
        <w:rPr>
          <w:rFonts w:hint="eastAsia" w:ascii="宋体" w:hAnsi="宋体" w:eastAsia="仿宋_GB2312"/>
          <w:snapToGrid w:val="0"/>
          <w:sz w:val="32"/>
          <w:szCs w:val="32"/>
        </w:rPr>
        <w:t>市、县（市、区）应当建立多元化解纠纷工作部门联席会议制度，定期研究和部署多元化解纠纷工作，协调解决多元化解纠纷工作中的重大问题。</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市、县（市、区）人民政府应当将多元化解纠纷机制纳入法治政府建设规划，组织协调和督促相关部门落实多元化解纠纷工作职责，支持、培育各类纠纷化解组织，引导社会力量参与化解纠纷。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黑体" w:hAnsi="黑体" w:eastAsia="黑体" w:cs="黑体"/>
          <w:snapToGrid w:val="0"/>
          <w:sz w:val="32"/>
          <w:szCs w:val="32"/>
        </w:rPr>
        <w:t>第六条</w:t>
      </w:r>
      <w:r>
        <w:rPr>
          <w:rFonts w:ascii="宋体" w:hAnsi="宋体" w:eastAsia="方正仿宋简体"/>
          <w:snapToGrid w:val="0"/>
          <w:sz w:val="32"/>
          <w:szCs w:val="32"/>
        </w:rPr>
        <w:t xml:space="preserve">  </w:t>
      </w:r>
      <w:r>
        <w:rPr>
          <w:rFonts w:hint="eastAsia" w:ascii="宋体" w:hAnsi="宋体" w:eastAsia="仿宋_GB2312"/>
          <w:snapToGrid w:val="0"/>
          <w:sz w:val="32"/>
          <w:szCs w:val="32"/>
        </w:rPr>
        <w:t>统筹协调多元化解纠纷工作的机构负责多元化解纠纷工作的协调指导、考核评估、督导检查，促进各类纠纷化解途径有机衔接。</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黑体" w:hAnsi="黑体" w:eastAsia="黑体" w:cs="黑体"/>
          <w:snapToGrid w:val="0"/>
          <w:sz w:val="32"/>
          <w:szCs w:val="32"/>
        </w:rPr>
        <w:t>第七条</w:t>
      </w:r>
      <w:r>
        <w:rPr>
          <w:rFonts w:ascii="宋体" w:hAnsi="宋体" w:eastAsia="方正仿宋简体"/>
          <w:snapToGrid w:val="0"/>
          <w:sz w:val="32"/>
          <w:szCs w:val="32"/>
        </w:rPr>
        <w:t xml:space="preserve">  </w:t>
      </w:r>
      <w:r>
        <w:rPr>
          <w:rFonts w:hint="eastAsia" w:ascii="宋体" w:hAnsi="宋体" w:eastAsia="仿宋_GB2312"/>
          <w:snapToGrid w:val="0"/>
          <w:sz w:val="32"/>
          <w:szCs w:val="32"/>
        </w:rPr>
        <w:t>建立健全社会稳定风险防范、纠纷排查化解制度及会商机制，加强联动配合，促进多元化解纠纷机制建设</w:t>
      </w:r>
      <w:r>
        <w:rPr>
          <w:rFonts w:ascii="宋体" w:hAnsi="宋体" w:eastAsia="仿宋_GB2312"/>
          <w:snapToGrid w:val="0"/>
          <w:sz w:val="32"/>
          <w:szCs w:val="32"/>
        </w:rPr>
        <w:t>:</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（一）市、县（市、区）人民政府及其部门应当建立健全社会纠纷排查预警机制，加强分析研判和预警，依法妥善处置纠纷，防止纠纷扩大或者激化；</w:t>
      </w:r>
      <w:r>
        <w:rPr>
          <w:rFonts w:ascii="宋体" w:hAnsi="宋体" w:eastAsia="仿宋_GB2312"/>
          <w:snapToGrid w:val="0"/>
          <w:sz w:val="32"/>
          <w:szCs w:val="32"/>
        </w:rPr>
        <w:t xml:space="preserve"> </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（二）乡（镇）人民政府、街道办事处依托社会治理中心，建设综合调解室，组织协调辖区内中心（办、所）、村（居）民委员会和各类调解组织开展纠纷预防、排查和化解；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（三）人民法院、人民检察院、人民团体、企业事业单位、基层群众性自治组织和其他社会组织，按照各自职责，及时发现纠纷线索，从源头上预防和化解纠纷。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黑体" w:hAnsi="黑体" w:eastAsia="黑体" w:cs="黑体"/>
          <w:snapToGrid w:val="0"/>
          <w:sz w:val="32"/>
          <w:szCs w:val="32"/>
        </w:rPr>
        <w:t>第八条</w:t>
      </w:r>
      <w:r>
        <w:rPr>
          <w:rFonts w:ascii="宋体" w:hAnsi="宋体" w:eastAsia="方正仿宋简体"/>
          <w:snapToGrid w:val="0"/>
          <w:sz w:val="32"/>
          <w:szCs w:val="32"/>
        </w:rPr>
        <w:t xml:space="preserve">  </w:t>
      </w:r>
      <w:r>
        <w:rPr>
          <w:rFonts w:hint="eastAsia" w:ascii="宋体" w:hAnsi="宋体" w:eastAsia="仿宋_GB2312"/>
          <w:snapToGrid w:val="0"/>
          <w:sz w:val="32"/>
          <w:szCs w:val="32"/>
        </w:rPr>
        <w:t>司法行政部门负责指导人民调解、行政调解和行业性、专业性调解工作，促进各类调解的衔接联动；指导仲裁工作；建立完善行政裁决、行政复议、行政应诉等工作机制；推动律师事务所、法律援助、基层公共法律服务、公证、司法鉴定、仲裁等法律服务机构和法律工作者、志愿者参与纠纷化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公安机关负责建立完善人民调解与接报警对接分流、道路交通事故损害赔偿纠纷和轻微刑事案件的和解、调解工作机制；会同司法行政部门在符合条件的公安派出所设立驻所人民调解室，在必要时邀请人民调解员参与治安调解工作。对于符合人民调解的纠纷报警，应当当场调解，调解不成的，依法处理或者引导当事人选择其他途径解决。</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人力资源社会保障、农业农村、林业草原、自然资源规划部门按照各自职责，负责劳动人事争议、农村土地承包经营、林权、农村宅基地纠纷调解、仲裁工作。</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信访工作机构应当坚持诉访分离，依法分类处理信访事项，指导、督促有关单位依法开展信访工作，建立信访事项办理与其他化解纠纷途径有机衔接的工作机制，促进纠纷依法、及时化解。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政府其他有关职能部门和机构，应当按照各自职责依法开展行政调解、行政复议、行政裁决，培育和推动本系统行业性、专业性调解组织建设。</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黑体" w:hAnsi="黑体" w:eastAsia="黑体" w:cs="黑体"/>
          <w:snapToGrid w:val="0"/>
          <w:sz w:val="32"/>
          <w:szCs w:val="32"/>
        </w:rPr>
        <w:t>第九条</w:t>
      </w:r>
      <w:r>
        <w:rPr>
          <w:rFonts w:ascii="宋体" w:hAnsi="宋体" w:eastAsia="方正仿宋简体"/>
          <w:snapToGrid w:val="0"/>
          <w:sz w:val="32"/>
          <w:szCs w:val="32"/>
        </w:rPr>
        <w:t xml:space="preserve">  </w:t>
      </w:r>
      <w:r>
        <w:rPr>
          <w:rFonts w:hint="eastAsia" w:ascii="宋体" w:hAnsi="宋体" w:eastAsia="仿宋_GB2312"/>
          <w:snapToGrid w:val="0"/>
          <w:sz w:val="32"/>
          <w:szCs w:val="32"/>
        </w:rPr>
        <w:t>人民法院应当发挥在多元化解纠纷中的司法引领、推动和保障作用，健全诉讼与非诉讼衔接的纠纷化解机制，完善特邀调解、委派、委托调解制度，在程序分流、效力确认、生效法律文书执行等方面加强对接，为实质性化解纠纷提供司法保障。基层人民法院应当对各类调解组织调解纠纷进行业务指导。</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人民检察院应当依法履行法律监督职责，健全公益诉讼、检调对接、检察听证、司法救助等制度，完善参与化解纠纷工作机制。</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第十条</w:t>
      </w:r>
      <w:r>
        <w:rPr>
          <w:rFonts w:ascii="宋体" w:hAnsi="宋体" w:eastAsia="仿宋_GB2312"/>
          <w:snapToGrid w:val="0"/>
          <w:sz w:val="32"/>
          <w:szCs w:val="32"/>
        </w:rPr>
        <w:t xml:space="preserve">  </w:t>
      </w:r>
      <w:r>
        <w:rPr>
          <w:rFonts w:hint="eastAsia" w:ascii="宋体" w:hAnsi="宋体" w:eastAsia="仿宋_GB2312"/>
          <w:snapToGrid w:val="0"/>
          <w:sz w:val="32"/>
          <w:szCs w:val="32"/>
        </w:rPr>
        <w:t>工会、共青团、妇联、文联、侨联、残联、社科联、红十字会、科协、工商联、消费者权益保护、法学会等组织应当按照各自职责，发挥各自优势，参与多元化解纠纷机制建设，共同做好纠纷化解工作。</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调解、公证、仲裁、律师等行业协会应当加强行业自律，依法开展纠纷化解、权益维护、行业惩戒等工作，参与纠纷化解机制建设。</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鼓励企业事业单位、社会组织和个人积极参与多元化解纠纷工作，提供捐助或者志愿服务。</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鼓励和支持人民调解员、法律专家和法律服务工作者等人员依托调解组织依法设立个人调解工作室。</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第十一条</w:t>
      </w:r>
      <w:r>
        <w:rPr>
          <w:rFonts w:ascii="宋体" w:hAnsi="宋体" w:eastAsia="仿宋_GB2312"/>
          <w:snapToGrid w:val="0"/>
          <w:sz w:val="32"/>
          <w:szCs w:val="32"/>
        </w:rPr>
        <w:t xml:space="preserve">  </w:t>
      </w:r>
      <w:r>
        <w:rPr>
          <w:rFonts w:hint="eastAsia" w:ascii="宋体" w:hAnsi="宋体" w:eastAsia="仿宋_GB2312"/>
          <w:snapToGrid w:val="0"/>
          <w:sz w:val="32"/>
          <w:szCs w:val="32"/>
        </w:rPr>
        <w:t>国家机关、企业事业单位、社会组织、村（居）民委员会和新闻媒体按照各自职责普及多元化解纠纷法律知识，宣传典型案例，弘扬和践行社会主义核心价值观，增进公众对多元化解纠纷的理解和认同，引导公民依法理性表达诉求、维护合法权益，营造知法守法、理性平和、互谅互让的社会氛围。</w:t>
      </w:r>
    </w:p>
    <w:p>
      <w:pPr>
        <w:topLinePunct/>
        <w:adjustRightInd w:val="0"/>
        <w:snapToGrid w:val="0"/>
        <w:spacing w:line="592" w:lineRule="exact"/>
        <w:ind w:firstLine="640" w:firstLineChars="200"/>
        <w:rPr>
          <w:rFonts w:ascii="宋体" w:hAnsi="宋体" w:eastAsia="仿宋_GB2312"/>
          <w:snapToGrid w:val="0"/>
          <w:sz w:val="32"/>
          <w:szCs w:val="32"/>
        </w:rPr>
      </w:pPr>
    </w:p>
    <w:p>
      <w:pPr>
        <w:topLinePunct/>
        <w:adjustRightInd w:val="0"/>
        <w:snapToGrid w:val="0"/>
        <w:spacing w:line="592" w:lineRule="exact"/>
        <w:jc w:val="center"/>
        <w:rPr>
          <w:rFonts w:ascii="宋体" w:hAnsi="宋体" w:eastAsia="黑体"/>
          <w:snapToGrid w:val="0"/>
          <w:sz w:val="32"/>
          <w:szCs w:val="32"/>
        </w:rPr>
      </w:pPr>
      <w:r>
        <w:rPr>
          <w:rFonts w:hint="eastAsia" w:ascii="宋体" w:hAnsi="宋体" w:eastAsia="黑体"/>
          <w:snapToGrid w:val="0"/>
          <w:sz w:val="32"/>
          <w:szCs w:val="32"/>
        </w:rPr>
        <w:t>第二章</w:t>
      </w:r>
      <w:r>
        <w:rPr>
          <w:rFonts w:ascii="宋体" w:hAnsi="宋体" w:eastAsia="黑体"/>
          <w:snapToGrid w:val="0"/>
          <w:sz w:val="32"/>
          <w:szCs w:val="32"/>
        </w:rPr>
        <w:t xml:space="preserve">  </w:t>
      </w:r>
      <w:r>
        <w:rPr>
          <w:rFonts w:hint="eastAsia" w:ascii="宋体" w:hAnsi="宋体" w:eastAsia="黑体"/>
          <w:snapToGrid w:val="0"/>
          <w:sz w:val="32"/>
          <w:szCs w:val="32"/>
        </w:rPr>
        <w:t>和解与调解</w:t>
      </w:r>
    </w:p>
    <w:p>
      <w:pPr>
        <w:topLinePunct/>
        <w:adjustRightInd w:val="0"/>
        <w:snapToGrid w:val="0"/>
        <w:spacing w:line="592" w:lineRule="exact"/>
        <w:jc w:val="center"/>
        <w:rPr>
          <w:rFonts w:ascii="宋体" w:hAnsi="宋体" w:eastAsia="黑体"/>
          <w:snapToGrid w:val="0"/>
          <w:sz w:val="32"/>
          <w:szCs w:val="32"/>
        </w:rPr>
      </w:pP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第十二条</w:t>
      </w:r>
      <w:r>
        <w:rPr>
          <w:rFonts w:ascii="宋体" w:hAnsi="宋体" w:eastAsia="仿宋_GB2312"/>
          <w:snapToGrid w:val="0"/>
          <w:sz w:val="32"/>
          <w:szCs w:val="32"/>
        </w:rPr>
        <w:t xml:space="preserve">  </w:t>
      </w:r>
      <w:r>
        <w:rPr>
          <w:rFonts w:hint="eastAsia" w:ascii="宋体" w:hAnsi="宋体" w:eastAsia="仿宋_GB2312"/>
          <w:snapToGrid w:val="0"/>
          <w:sz w:val="32"/>
          <w:szCs w:val="32"/>
        </w:rPr>
        <w:t>鼓励当事人在法律法规规定的范围内，通过协商、谈判等方式自行达成和解协议。</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当事人可以邀请调解员、基层法律服务工作者、律师、公证人员或者其他人员参与协商，促进和解。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第十三条</w:t>
      </w:r>
      <w:r>
        <w:rPr>
          <w:rFonts w:ascii="宋体" w:hAnsi="宋体" w:eastAsia="仿宋_GB2312"/>
          <w:snapToGrid w:val="0"/>
          <w:sz w:val="32"/>
          <w:szCs w:val="32"/>
        </w:rPr>
        <w:t xml:space="preserve">  </w:t>
      </w:r>
      <w:r>
        <w:rPr>
          <w:rFonts w:hint="eastAsia" w:ascii="宋体" w:hAnsi="宋体" w:eastAsia="仿宋_GB2312"/>
          <w:snapToGrid w:val="0"/>
          <w:sz w:val="32"/>
          <w:szCs w:val="32"/>
        </w:rPr>
        <w:t>村（居）民委员会设立人民调解委员会，乡（镇）人民政府、街道办事处、企业事业单位、社会团体或者其他组织根据需要设立人民调解委员会，依法配置人民调解员，调解民间纠纷。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村（居）民委员会应当健全人民调解组织，组织人民调解员、网格管理员、社区（村）工作者、法律顾问等，就地预防、排查、化解纠纷。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鼓励人民调解委员会聘任专职人民调解员，选聘高等院校毕业生充实人民调解员队伍。</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第十四条</w:t>
      </w:r>
      <w:r>
        <w:rPr>
          <w:rFonts w:ascii="宋体" w:hAnsi="宋体" w:eastAsia="仿宋_GB2312"/>
          <w:snapToGrid w:val="0"/>
          <w:sz w:val="32"/>
          <w:szCs w:val="32"/>
        </w:rPr>
        <w:t xml:space="preserve">  </w:t>
      </w:r>
      <w:r>
        <w:rPr>
          <w:rFonts w:hint="eastAsia" w:ascii="宋体" w:hAnsi="宋体" w:eastAsia="仿宋_GB2312"/>
          <w:snapToGrid w:val="0"/>
          <w:sz w:val="32"/>
          <w:szCs w:val="32"/>
        </w:rPr>
        <w:t>市、县（市、区）应当设立医患、消费、物业、交通事故、知识产权、农村土地承包经营权、林权、劳动人事等纠纷的专业人民调解委员会，在司法行政部门和有关行业主管部门的指导下，依法调解相关领域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第十五条</w:t>
      </w:r>
      <w:r>
        <w:rPr>
          <w:rFonts w:ascii="宋体" w:hAnsi="宋体" w:eastAsia="仿宋_GB2312"/>
          <w:snapToGrid w:val="0"/>
          <w:sz w:val="32"/>
          <w:szCs w:val="32"/>
        </w:rPr>
        <w:t xml:space="preserve">  </w:t>
      </w:r>
      <w:r>
        <w:rPr>
          <w:rFonts w:hint="eastAsia" w:ascii="宋体" w:hAnsi="宋体" w:eastAsia="仿宋_GB2312"/>
          <w:snapToGrid w:val="0"/>
          <w:sz w:val="32"/>
          <w:szCs w:val="32"/>
        </w:rPr>
        <w:t>鼓励登记为社会服务机构的调解组织发展，探索设立市场化运行的调解组织。</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鼓励在投资、贸易、金融、保险、房地产、工程承包、技术转让、知识产权等领域设立调解组织，依法提供商事纠纷调解服务。</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鼓励大型企业、电子商务平台、经济技术开发区、工业园区、商业区等设立调解组织或者建立纠纷化解机制，及时化解企业生产经营活动中产生的纠纷。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第十六条</w:t>
      </w:r>
      <w:r>
        <w:rPr>
          <w:rFonts w:ascii="宋体" w:hAnsi="宋体" w:eastAsia="仿宋_GB2312"/>
          <w:snapToGrid w:val="0"/>
          <w:sz w:val="32"/>
          <w:szCs w:val="32"/>
        </w:rPr>
        <w:t xml:space="preserve">  </w:t>
      </w:r>
      <w:r>
        <w:rPr>
          <w:rFonts w:hint="eastAsia" w:ascii="宋体" w:hAnsi="宋体" w:eastAsia="仿宋_GB2312"/>
          <w:snapToGrid w:val="0"/>
          <w:sz w:val="32"/>
          <w:szCs w:val="32"/>
        </w:rPr>
        <w:t>支持律师依法引导当事人通过调解的方式化解纠纷。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鼓励律师和依法设立的律师调解工作室，参与调解活动，提供调解服务，协助纠纷当事人自愿协商达成协议。</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第十七条</w:t>
      </w:r>
      <w:r>
        <w:rPr>
          <w:rFonts w:ascii="宋体" w:hAnsi="宋体" w:eastAsia="仿宋_GB2312"/>
          <w:snapToGrid w:val="0"/>
          <w:sz w:val="32"/>
          <w:szCs w:val="32"/>
        </w:rPr>
        <w:t xml:space="preserve">  </w:t>
      </w:r>
      <w:r>
        <w:rPr>
          <w:rFonts w:hint="eastAsia" w:ascii="宋体" w:hAnsi="宋体" w:eastAsia="仿宋_GB2312"/>
          <w:snapToGrid w:val="0"/>
          <w:sz w:val="32"/>
          <w:szCs w:val="32"/>
        </w:rPr>
        <w:t>当事人可以向人民调解组织申请调解，人民调解组织也可以主动调解，通过说服、疏导等方法，促使当事人在平等协商基础上自愿达成调解协议，解决民间纠纷。当事人一方明确拒绝调解的纠纷，不得调解。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第十八条</w:t>
      </w:r>
      <w:r>
        <w:rPr>
          <w:rFonts w:ascii="宋体" w:hAnsi="宋体" w:eastAsia="仿宋_GB2312"/>
          <w:snapToGrid w:val="0"/>
          <w:sz w:val="32"/>
          <w:szCs w:val="32"/>
        </w:rPr>
        <w:t xml:space="preserve">  </w:t>
      </w:r>
      <w:r>
        <w:rPr>
          <w:rFonts w:hint="eastAsia" w:ascii="宋体" w:hAnsi="宋体" w:eastAsia="仿宋_GB2312"/>
          <w:snapToGrid w:val="0"/>
          <w:sz w:val="32"/>
          <w:szCs w:val="32"/>
        </w:rPr>
        <w:t>经调解无法达成调解协议或者当事人要求终止调解的，调解组织应当终止调解，告知当事人可以通过仲裁、诉讼等途径解决纠纷。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调解组织或者调解员在调解纠纷过程中，发现当事人恶意串通，损害国家利益、社会公共利益或者他人合法权益的，应当终止调解，并在调解笔录中记载调解终止理由。</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人民调解组织在调解过程中发现社区（村）治理问题或者纠纷隐患的，应当及时向村（居）民委员会、乡（镇）人民政府、街道办事处提出意见和建议。</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第十九条</w:t>
      </w:r>
      <w:r>
        <w:rPr>
          <w:rFonts w:ascii="宋体" w:hAnsi="宋体" w:eastAsia="仿宋_GB2312"/>
          <w:snapToGrid w:val="0"/>
          <w:sz w:val="32"/>
          <w:szCs w:val="32"/>
        </w:rPr>
        <w:t xml:space="preserve">  </w:t>
      </w:r>
      <w:r>
        <w:rPr>
          <w:rFonts w:hint="eastAsia" w:ascii="宋体" w:hAnsi="宋体" w:eastAsia="仿宋_GB2312"/>
          <w:snapToGrid w:val="0"/>
          <w:sz w:val="32"/>
          <w:szCs w:val="32"/>
        </w:rPr>
        <w:t>调解组织依法调解民间纠纷，在不违反法律、法规和政策的前提下，可以依据自治章程、行业惯例、交易习惯、村规民约和居民公约等进行调解。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调解民间纠纷应当尊重当事人意愿，以调和为目的，缓和当事人之间的对立，促进当事人互谅互让，引导当事人达成调解协议；发现纠纷有可能激化的，应当及时采取预防措施。</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鼓励人大代表、政协委员、乡贤、亲友、邻里等当事人认可的人员参与调解民间纠纷。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第二十条</w:t>
      </w:r>
      <w:r>
        <w:rPr>
          <w:rFonts w:ascii="宋体" w:hAnsi="宋体" w:eastAsia="仿宋_GB2312"/>
          <w:snapToGrid w:val="0"/>
          <w:sz w:val="32"/>
          <w:szCs w:val="32"/>
        </w:rPr>
        <w:t xml:space="preserve">  </w:t>
      </w:r>
      <w:r>
        <w:rPr>
          <w:rFonts w:hint="eastAsia" w:ascii="宋体" w:hAnsi="宋体" w:eastAsia="仿宋_GB2312"/>
          <w:snapToGrid w:val="0"/>
          <w:sz w:val="32"/>
          <w:szCs w:val="32"/>
        </w:rPr>
        <w:t>当事人在调解过程中就全部或者部分争议事项达成协议的，调解组织可以制作调解协议；当事人认为无需制作调解协议的，调解组织应当记入调解笔录，并由双方当事人签名或者盖章。</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当事人未达成调解协议的，调解组织在征得各方当事人同意后，可以用书面形式记载调解过程中没有争议的事实，并由双方当事人签字或者盖章确认。</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第二十一条</w:t>
      </w:r>
      <w:r>
        <w:rPr>
          <w:rFonts w:ascii="宋体" w:hAnsi="宋体" w:eastAsia="仿宋_GB2312"/>
          <w:snapToGrid w:val="0"/>
          <w:sz w:val="32"/>
          <w:szCs w:val="32"/>
        </w:rPr>
        <w:t xml:space="preserve">  </w:t>
      </w:r>
      <w:r>
        <w:rPr>
          <w:rFonts w:hint="eastAsia" w:ascii="宋体" w:hAnsi="宋体" w:eastAsia="仿宋_GB2312"/>
          <w:snapToGrid w:val="0"/>
          <w:sz w:val="32"/>
          <w:szCs w:val="32"/>
        </w:rPr>
        <w:t>鼓励和支持公道正派、热心调解、群众认可的社会人士、专业人员或者有法律工作经历的退休人员等担任调解员。行业和专业调解组织的调解员应当具备相关的专业知识或者工作经验。</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支持有调解专长的人员设立专业调解类社会组织，培育职业调解员队伍。</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鼓励调解组织、人民调解员协会等为调解员购买人身意外伤害保险，加强对调解员的人身安全保护。</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第二十二条</w:t>
      </w:r>
      <w:r>
        <w:rPr>
          <w:rFonts w:ascii="宋体" w:hAnsi="宋体" w:eastAsia="仿宋_GB2312"/>
          <w:snapToGrid w:val="0"/>
          <w:sz w:val="32"/>
          <w:szCs w:val="32"/>
        </w:rPr>
        <w:t xml:space="preserve">  </w:t>
      </w:r>
      <w:r>
        <w:rPr>
          <w:rFonts w:hint="eastAsia" w:ascii="宋体" w:hAnsi="宋体" w:eastAsia="仿宋_GB2312"/>
          <w:snapToGrid w:val="0"/>
          <w:sz w:val="32"/>
          <w:szCs w:val="32"/>
        </w:rPr>
        <w:t>乡（镇、街道）司法所应当加强对村（居）民委员会人民调解工作的指导。</w:t>
      </w:r>
    </w:p>
    <w:p>
      <w:pPr>
        <w:topLinePunct/>
        <w:adjustRightInd w:val="0"/>
        <w:snapToGrid w:val="0"/>
        <w:spacing w:line="592" w:lineRule="exact"/>
        <w:ind w:firstLine="640" w:firstLineChars="200"/>
        <w:rPr>
          <w:rFonts w:ascii="宋体" w:hAnsi="宋体" w:eastAsia="仿宋_GB2312"/>
          <w:snapToGrid w:val="0"/>
          <w:sz w:val="32"/>
          <w:szCs w:val="32"/>
        </w:rPr>
      </w:pPr>
    </w:p>
    <w:p>
      <w:pPr>
        <w:topLinePunct/>
        <w:adjustRightInd w:val="0"/>
        <w:snapToGrid w:val="0"/>
        <w:spacing w:line="592" w:lineRule="exact"/>
        <w:jc w:val="center"/>
        <w:rPr>
          <w:rFonts w:ascii="宋体" w:hAnsi="宋体" w:eastAsia="黑体"/>
          <w:snapToGrid w:val="0"/>
          <w:sz w:val="32"/>
          <w:szCs w:val="32"/>
        </w:rPr>
      </w:pPr>
      <w:r>
        <w:rPr>
          <w:rFonts w:hint="eastAsia" w:ascii="宋体" w:hAnsi="宋体" w:eastAsia="黑体"/>
          <w:snapToGrid w:val="0"/>
          <w:sz w:val="32"/>
          <w:szCs w:val="32"/>
        </w:rPr>
        <w:t>第三章</w:t>
      </w:r>
      <w:r>
        <w:rPr>
          <w:rFonts w:ascii="宋体" w:hAnsi="宋体" w:eastAsia="黑体"/>
          <w:snapToGrid w:val="0"/>
          <w:sz w:val="32"/>
          <w:szCs w:val="32"/>
        </w:rPr>
        <w:t xml:space="preserve">  </w:t>
      </w:r>
      <w:r>
        <w:rPr>
          <w:rFonts w:hint="eastAsia" w:ascii="宋体" w:hAnsi="宋体" w:eastAsia="黑体"/>
          <w:snapToGrid w:val="0"/>
          <w:sz w:val="32"/>
          <w:szCs w:val="32"/>
        </w:rPr>
        <w:t>仲裁与公证</w:t>
      </w:r>
    </w:p>
    <w:p>
      <w:pPr>
        <w:topLinePunct/>
        <w:adjustRightInd w:val="0"/>
        <w:snapToGrid w:val="0"/>
        <w:spacing w:line="592" w:lineRule="exact"/>
        <w:jc w:val="center"/>
        <w:rPr>
          <w:rFonts w:ascii="宋体" w:hAnsi="宋体" w:eastAsia="仿宋_GB2312"/>
          <w:snapToGrid w:val="0"/>
          <w:sz w:val="32"/>
          <w:szCs w:val="32"/>
        </w:rPr>
      </w:pP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第二十三条</w:t>
      </w:r>
      <w:r>
        <w:rPr>
          <w:rFonts w:ascii="宋体" w:hAnsi="宋体" w:eastAsia="仿宋_GB2312"/>
          <w:snapToGrid w:val="0"/>
          <w:sz w:val="32"/>
          <w:szCs w:val="32"/>
        </w:rPr>
        <w:t xml:space="preserve">  </w:t>
      </w:r>
      <w:r>
        <w:rPr>
          <w:rFonts w:hint="eastAsia" w:ascii="宋体" w:hAnsi="宋体" w:eastAsia="仿宋_GB2312"/>
          <w:snapToGrid w:val="0"/>
          <w:sz w:val="32"/>
          <w:szCs w:val="32"/>
        </w:rPr>
        <w:t>当事人之间发生符合《中华人民共和国仲裁法》的合同纠纷或者其他财产权益纠纷，可以向依法登记设立的仲裁机构申请仲裁。</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第二十四条</w:t>
      </w:r>
      <w:r>
        <w:rPr>
          <w:rFonts w:ascii="宋体" w:hAnsi="宋体" w:eastAsia="仿宋_GB2312"/>
          <w:snapToGrid w:val="0"/>
          <w:sz w:val="32"/>
          <w:szCs w:val="32"/>
        </w:rPr>
        <w:t xml:space="preserve">  </w:t>
      </w:r>
      <w:r>
        <w:rPr>
          <w:rFonts w:hint="eastAsia" w:ascii="宋体" w:hAnsi="宋体" w:eastAsia="仿宋_GB2312"/>
          <w:snapToGrid w:val="0"/>
          <w:sz w:val="32"/>
          <w:szCs w:val="32"/>
        </w:rPr>
        <w:t>仲裁机构应当推广网上立案、开庭等线上仲裁方式，提高仲裁效率。</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第二十五条</w:t>
      </w:r>
      <w:r>
        <w:rPr>
          <w:rFonts w:ascii="宋体" w:hAnsi="宋体" w:eastAsia="仿宋_GB2312"/>
          <w:snapToGrid w:val="0"/>
          <w:sz w:val="32"/>
          <w:szCs w:val="32"/>
        </w:rPr>
        <w:t xml:space="preserve">  </w:t>
      </w:r>
      <w:r>
        <w:rPr>
          <w:rFonts w:hint="eastAsia" w:ascii="宋体" w:hAnsi="宋体" w:eastAsia="仿宋_GB2312"/>
          <w:snapToGrid w:val="0"/>
          <w:sz w:val="32"/>
          <w:szCs w:val="32"/>
        </w:rPr>
        <w:t>劳动人事争议当事人不愿协商、协商不成或者达成和解协议后不履行的，可以向调解组织申请调解；不愿调解、调解不成或者达成调解协议后不履行的，可以向劳动争议仲裁委员会申请仲裁；对仲裁裁决不服的，除法律另有规定的外，可以向人民法院提起诉讼。</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农村土地承包经营权纠纷当事人和解、调解不成或者不愿和解、调解的，可以向农村土地承包仲裁委员会申请仲裁，也可以直接向人民法院起诉。</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第二十六条</w:t>
      </w:r>
      <w:r>
        <w:rPr>
          <w:rFonts w:ascii="宋体" w:hAnsi="宋体" w:eastAsia="仿宋_GB2312"/>
          <w:snapToGrid w:val="0"/>
          <w:sz w:val="32"/>
          <w:szCs w:val="32"/>
        </w:rPr>
        <w:t xml:space="preserve">  </w:t>
      </w:r>
      <w:r>
        <w:rPr>
          <w:rFonts w:hint="eastAsia" w:ascii="宋体" w:hAnsi="宋体" w:eastAsia="仿宋_GB2312"/>
          <w:snapToGrid w:val="0"/>
          <w:sz w:val="32"/>
          <w:szCs w:val="32"/>
        </w:rPr>
        <w:t>公证机构根据当事人的申请，依法办理合同、继承、亲属关系、财产分割、证据保全等公证，及时明确权利义务，预防和减少纠纷的发生。</w:t>
      </w:r>
    </w:p>
    <w:p>
      <w:pPr>
        <w:topLinePunct/>
        <w:adjustRightInd w:val="0"/>
        <w:snapToGrid w:val="0"/>
        <w:spacing w:line="592" w:lineRule="exact"/>
        <w:ind w:firstLine="640" w:firstLineChars="200"/>
        <w:rPr>
          <w:rFonts w:ascii="宋体" w:hAnsi="宋体" w:eastAsia="仿宋_GB2312"/>
          <w:snapToGrid w:val="0"/>
          <w:sz w:val="32"/>
          <w:szCs w:val="32"/>
        </w:rPr>
      </w:pPr>
    </w:p>
    <w:p>
      <w:pPr>
        <w:topLinePunct/>
        <w:adjustRightInd w:val="0"/>
        <w:snapToGrid w:val="0"/>
        <w:spacing w:line="592" w:lineRule="exact"/>
        <w:jc w:val="center"/>
        <w:rPr>
          <w:rFonts w:ascii="宋体" w:hAnsi="宋体" w:eastAsia="黑体"/>
          <w:snapToGrid w:val="0"/>
          <w:sz w:val="32"/>
          <w:szCs w:val="32"/>
        </w:rPr>
      </w:pPr>
      <w:r>
        <w:rPr>
          <w:rFonts w:hint="eastAsia" w:ascii="宋体" w:hAnsi="宋体" w:eastAsia="黑体"/>
          <w:snapToGrid w:val="0"/>
          <w:sz w:val="32"/>
          <w:szCs w:val="32"/>
        </w:rPr>
        <w:t>第四章</w:t>
      </w:r>
      <w:r>
        <w:rPr>
          <w:rFonts w:ascii="宋体" w:hAnsi="宋体" w:eastAsia="黑体"/>
          <w:snapToGrid w:val="0"/>
          <w:sz w:val="32"/>
          <w:szCs w:val="32"/>
        </w:rPr>
        <w:t xml:space="preserve">  </w:t>
      </w:r>
      <w:r>
        <w:rPr>
          <w:rFonts w:hint="eastAsia" w:ascii="宋体" w:hAnsi="宋体" w:eastAsia="黑体"/>
          <w:snapToGrid w:val="0"/>
          <w:sz w:val="32"/>
          <w:szCs w:val="32"/>
        </w:rPr>
        <w:t>行政调解、行政裁决与行政复议</w:t>
      </w:r>
    </w:p>
    <w:p>
      <w:pPr>
        <w:topLinePunct/>
        <w:adjustRightInd w:val="0"/>
        <w:snapToGrid w:val="0"/>
        <w:spacing w:line="592" w:lineRule="exact"/>
        <w:jc w:val="center"/>
        <w:rPr>
          <w:rFonts w:ascii="宋体" w:hAnsi="宋体" w:eastAsia="黑体"/>
          <w:snapToGrid w:val="0"/>
          <w:sz w:val="32"/>
          <w:szCs w:val="32"/>
        </w:rPr>
      </w:pP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第二十七条</w:t>
      </w:r>
      <w:r>
        <w:rPr>
          <w:rFonts w:ascii="宋体" w:hAnsi="宋体" w:eastAsia="仿宋_GB2312"/>
          <w:snapToGrid w:val="0"/>
          <w:sz w:val="32"/>
          <w:szCs w:val="32"/>
        </w:rPr>
        <w:t xml:space="preserve">  </w:t>
      </w:r>
      <w:r>
        <w:rPr>
          <w:rFonts w:hint="eastAsia" w:ascii="宋体" w:hAnsi="宋体" w:eastAsia="仿宋_GB2312"/>
          <w:snapToGrid w:val="0"/>
          <w:sz w:val="32"/>
          <w:szCs w:val="32"/>
        </w:rPr>
        <w:t>行政机关根据当事人的申请，依法开展行政调解，促使各方当事人平等协商，自愿达成调解协议；调解不成的，告知当事人依法通过行政裁决、行政复议或者诉讼等方式解决。</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纠纷涉及人数较多、影响较大、可能影响社会稳定的，行政机关应当依法主动进行调解。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第二十八条</w:t>
      </w:r>
      <w:r>
        <w:rPr>
          <w:rFonts w:ascii="宋体" w:hAnsi="宋体" w:eastAsia="仿宋_GB2312"/>
          <w:snapToGrid w:val="0"/>
          <w:sz w:val="32"/>
          <w:szCs w:val="32"/>
        </w:rPr>
        <w:t xml:space="preserve">  </w:t>
      </w:r>
      <w:r>
        <w:rPr>
          <w:rFonts w:hint="eastAsia" w:ascii="宋体" w:hAnsi="宋体" w:eastAsia="仿宋_GB2312"/>
          <w:snapToGrid w:val="0"/>
          <w:sz w:val="32"/>
          <w:szCs w:val="32"/>
        </w:rPr>
        <w:t>公安机关办理道路交通事故案件，处理交通事故损害赔偿争议，当事人一致申请调解的，应当依法调解；办理治安案件，对符合调解条件的，可以依法调解；办理刑事案件，对符合刑事和解条件的，可以引导当事人和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公安机关进行调解或者引导和解的，可以邀请人民调解员或者当事人认可的第三方参与调解。调解或者和解不成的，应当依法处理或者引导当事人依法选择其他途径解决纠纷。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第二十九条</w:t>
      </w:r>
      <w:r>
        <w:rPr>
          <w:rFonts w:ascii="宋体" w:hAnsi="宋体" w:eastAsia="仿宋_GB2312"/>
          <w:snapToGrid w:val="0"/>
          <w:sz w:val="32"/>
          <w:szCs w:val="32"/>
        </w:rPr>
        <w:t xml:space="preserve">  </w:t>
      </w:r>
      <w:r>
        <w:rPr>
          <w:rFonts w:hint="eastAsia" w:ascii="宋体" w:hAnsi="宋体" w:eastAsia="仿宋_GB2312"/>
          <w:snapToGrid w:val="0"/>
          <w:sz w:val="32"/>
          <w:szCs w:val="32"/>
        </w:rPr>
        <w:t>法律、行政法规授权的行政机关可以根据当事人申请，对下列当事人之间发生的、与行政管理活动密切相关的民事纠纷作出行政裁决：</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（一）自然资源权属争议；</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（二）知识产权侵权纠纷和补偿争议；</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（三）政府采购活动争议；</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（四）法律、行政法规规定的其他事项。</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第三十条</w:t>
      </w:r>
      <w:r>
        <w:rPr>
          <w:rFonts w:ascii="宋体" w:hAnsi="宋体" w:eastAsia="仿宋_GB2312"/>
          <w:snapToGrid w:val="0"/>
          <w:sz w:val="32"/>
          <w:szCs w:val="32"/>
        </w:rPr>
        <w:t xml:space="preserve">  </w:t>
      </w:r>
      <w:r>
        <w:rPr>
          <w:rFonts w:hint="eastAsia" w:ascii="宋体" w:hAnsi="宋体" w:eastAsia="仿宋_GB2312"/>
          <w:snapToGrid w:val="0"/>
          <w:sz w:val="32"/>
          <w:szCs w:val="32"/>
        </w:rPr>
        <w:t>依法承担行政裁决职责的行政机关，应当明确具体负责办理行政裁决案件的机构，将行政裁决事项纳入权力清单，编制标准化工作流程和办事指南并向社会公布。</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第三十一条</w:t>
      </w:r>
      <w:r>
        <w:rPr>
          <w:rFonts w:ascii="宋体" w:hAnsi="宋体" w:eastAsia="仿宋_GB2312"/>
          <w:snapToGrid w:val="0"/>
          <w:sz w:val="32"/>
          <w:szCs w:val="32"/>
        </w:rPr>
        <w:t xml:space="preserve">  </w:t>
      </w:r>
      <w:r>
        <w:rPr>
          <w:rFonts w:hint="eastAsia" w:ascii="宋体" w:hAnsi="宋体" w:eastAsia="仿宋_GB2312"/>
          <w:snapToGrid w:val="0"/>
          <w:sz w:val="32"/>
          <w:szCs w:val="32"/>
        </w:rPr>
        <w:t>当事人申请行政裁决的，应当在规定期限内向具有行政裁决职能的行政机关提出行政裁决申请。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行政机关依法裁决与行政管理活动密切相关的民事纠纷应当先行调解，当事人达成调解协议的，由行政机关制作调解协议书；调解不成的，及时作出裁决。</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第三十二条</w:t>
      </w:r>
      <w:r>
        <w:rPr>
          <w:rFonts w:ascii="宋体" w:hAnsi="宋体" w:eastAsia="仿宋_GB2312"/>
          <w:snapToGrid w:val="0"/>
          <w:sz w:val="32"/>
          <w:szCs w:val="32"/>
        </w:rPr>
        <w:t xml:space="preserve">  </w:t>
      </w:r>
      <w:r>
        <w:rPr>
          <w:rFonts w:hint="eastAsia" w:ascii="宋体" w:hAnsi="宋体" w:eastAsia="仿宋_GB2312"/>
          <w:snapToGrid w:val="0"/>
          <w:sz w:val="32"/>
          <w:szCs w:val="32"/>
        </w:rPr>
        <w:t>当事人认为行政机关的具体行政行为侵犯其合法权益的，可以向行政复议机关提出行政复议申请。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行政复议机关对符合法定条件的行政复议申请，应当受理，依法对行政行为的合法性、适当性进行审查，保护当事人合法权益，保障和监督行政机关依法行使职权。</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第三十三条</w:t>
      </w:r>
      <w:r>
        <w:rPr>
          <w:rFonts w:ascii="宋体" w:hAnsi="宋体" w:eastAsia="仿宋_GB2312"/>
          <w:snapToGrid w:val="0"/>
          <w:sz w:val="32"/>
          <w:szCs w:val="32"/>
        </w:rPr>
        <w:t xml:space="preserve">  </w:t>
      </w:r>
      <w:r>
        <w:rPr>
          <w:rFonts w:hint="eastAsia" w:ascii="宋体" w:hAnsi="宋体" w:eastAsia="仿宋_GB2312"/>
          <w:snapToGrid w:val="0"/>
          <w:sz w:val="32"/>
          <w:szCs w:val="32"/>
        </w:rPr>
        <w:t>建立由行政复议机关主导，相关部门、专家学者参与的行政复议咨询委员会，为重大、复杂、疑难以及新型行政复议案件提供咨询意见，提高行政复议办案质量和公信力。</w:t>
      </w:r>
    </w:p>
    <w:p>
      <w:pPr>
        <w:topLinePunct/>
        <w:adjustRightInd w:val="0"/>
        <w:snapToGrid w:val="0"/>
        <w:spacing w:line="592" w:lineRule="exact"/>
        <w:ind w:firstLine="640" w:firstLineChars="200"/>
        <w:rPr>
          <w:rFonts w:ascii="宋体" w:hAnsi="宋体" w:eastAsia="仿宋_GB2312"/>
          <w:snapToGrid w:val="0"/>
          <w:sz w:val="32"/>
          <w:szCs w:val="32"/>
        </w:rPr>
      </w:pPr>
    </w:p>
    <w:p>
      <w:pPr>
        <w:topLinePunct/>
        <w:adjustRightInd w:val="0"/>
        <w:snapToGrid w:val="0"/>
        <w:spacing w:line="592" w:lineRule="exact"/>
        <w:jc w:val="center"/>
        <w:rPr>
          <w:rFonts w:ascii="宋体" w:hAnsi="宋体" w:eastAsia="黑体"/>
          <w:snapToGrid w:val="0"/>
          <w:sz w:val="32"/>
          <w:szCs w:val="32"/>
        </w:rPr>
      </w:pPr>
      <w:r>
        <w:rPr>
          <w:rFonts w:hint="eastAsia" w:ascii="宋体" w:hAnsi="宋体" w:eastAsia="黑体"/>
          <w:snapToGrid w:val="0"/>
          <w:sz w:val="32"/>
          <w:szCs w:val="32"/>
        </w:rPr>
        <w:t>第五章</w:t>
      </w:r>
      <w:r>
        <w:rPr>
          <w:rFonts w:ascii="宋体" w:hAnsi="宋体" w:eastAsia="黑体"/>
          <w:snapToGrid w:val="0"/>
          <w:sz w:val="32"/>
          <w:szCs w:val="32"/>
        </w:rPr>
        <w:t xml:space="preserve">  </w:t>
      </w:r>
      <w:r>
        <w:rPr>
          <w:rFonts w:hint="eastAsia" w:ascii="宋体" w:hAnsi="宋体" w:eastAsia="黑体"/>
          <w:snapToGrid w:val="0"/>
          <w:sz w:val="32"/>
          <w:szCs w:val="32"/>
        </w:rPr>
        <w:t>程序衔接</w:t>
      </w:r>
    </w:p>
    <w:p>
      <w:pPr>
        <w:topLinePunct/>
        <w:adjustRightInd w:val="0"/>
        <w:snapToGrid w:val="0"/>
        <w:spacing w:line="592" w:lineRule="exact"/>
        <w:jc w:val="center"/>
        <w:rPr>
          <w:rFonts w:ascii="宋体" w:hAnsi="宋体" w:eastAsia="黑体"/>
          <w:snapToGrid w:val="0"/>
          <w:sz w:val="32"/>
          <w:szCs w:val="32"/>
        </w:rPr>
      </w:pP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第三十四条</w:t>
      </w:r>
      <w:r>
        <w:rPr>
          <w:rFonts w:ascii="宋体" w:hAnsi="宋体" w:eastAsia="仿宋_GB2312"/>
          <w:snapToGrid w:val="0"/>
          <w:sz w:val="32"/>
          <w:szCs w:val="32"/>
        </w:rPr>
        <w:t xml:space="preserve">  </w:t>
      </w:r>
      <w:r>
        <w:rPr>
          <w:rFonts w:hint="eastAsia" w:ascii="宋体" w:hAnsi="宋体" w:eastAsia="仿宋_GB2312"/>
          <w:snapToGrid w:val="0"/>
          <w:sz w:val="32"/>
          <w:szCs w:val="32"/>
        </w:rPr>
        <w:t>人民政府及其部门、人民法院、人民检察院、仲裁机构、公证机构、调解组织应当加强协调配合，通过委派、委托、邀请、移送等方式，推动程序衔接，促进纠纷化解。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第三十五条</w:t>
      </w:r>
      <w:r>
        <w:rPr>
          <w:rFonts w:ascii="宋体" w:hAnsi="宋体" w:eastAsia="仿宋_GB2312"/>
          <w:snapToGrid w:val="0"/>
          <w:sz w:val="32"/>
          <w:szCs w:val="32"/>
        </w:rPr>
        <w:t xml:space="preserve">  </w:t>
      </w:r>
      <w:r>
        <w:rPr>
          <w:rFonts w:hint="eastAsia" w:ascii="宋体" w:hAnsi="宋体" w:eastAsia="仿宋_GB2312"/>
          <w:snapToGrid w:val="0"/>
          <w:sz w:val="32"/>
          <w:szCs w:val="32"/>
        </w:rPr>
        <w:t>公民、法人或者其他组织对行政机关行使法律、法规规定的自由裁量权作出的具体行政行为不服申请行政复议，申请人与被申请人在行政复议决定作出前自愿和解的，应当向行政复议机关提交书面和解协议；和解协议内容不损害国家利益、社会公共利益或者他人合法权益的，行政复议机关应当准许，并终止行政复议。</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第三十六条</w:t>
      </w:r>
      <w:r>
        <w:rPr>
          <w:rFonts w:ascii="宋体" w:hAnsi="宋体" w:eastAsia="仿宋_GB2312"/>
          <w:snapToGrid w:val="0"/>
          <w:sz w:val="32"/>
          <w:szCs w:val="32"/>
        </w:rPr>
        <w:t xml:space="preserve">  </w:t>
      </w:r>
      <w:r>
        <w:rPr>
          <w:rFonts w:hint="eastAsia" w:ascii="宋体" w:hAnsi="宋体" w:eastAsia="仿宋_GB2312"/>
          <w:snapToGrid w:val="0"/>
          <w:sz w:val="32"/>
          <w:szCs w:val="32"/>
        </w:rPr>
        <w:t>有下列情形之一的，行政复议机关按照自愿、合法的原则可以进行调解：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（一）公民、法人或者其他组织对行政机关行使自由裁量权作出的具体行政行为不服申请行政复议的纠纷；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（二）行政赔偿或者行政补偿纠纷。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经调解达成协议的，行政复议机关应当制作行政复议调解书；调解不成或者调解书生效前一方反悔的，行政复议机关应当及时作出行政复议决定。</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第三十七条</w:t>
      </w:r>
      <w:r>
        <w:rPr>
          <w:rFonts w:ascii="宋体" w:hAnsi="宋体" w:eastAsia="仿宋_GB2312"/>
          <w:snapToGrid w:val="0"/>
          <w:sz w:val="32"/>
          <w:szCs w:val="32"/>
        </w:rPr>
        <w:t xml:space="preserve">  </w:t>
      </w:r>
      <w:r>
        <w:rPr>
          <w:rFonts w:hint="eastAsia" w:ascii="宋体" w:hAnsi="宋体" w:eastAsia="仿宋_GB2312"/>
          <w:snapToGrid w:val="0"/>
          <w:sz w:val="32"/>
          <w:szCs w:val="32"/>
        </w:rPr>
        <w:t>人民法院在立案前应当进行诉讼风险告知，引导当事人选择和解、调解等适宜的非诉讼解决方式，或者经当事人同意委派特邀调解组织、特邀调解员进行调解。当事人自愿调解的，人民法院应当将案件材料移交给调解纠纷的组织、机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推动基层人民法院对家事纠纷、相邻关系、小额债务、消费权益保护、交通事故赔偿、物业纠纷、医疗纠纷等适宜调解的案件，探索建立诉前调解机制。当事人坚持以诉讼方式解决纠纷的，应当保障当事人的诉讼权益。</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第三十八条</w:t>
      </w:r>
      <w:r>
        <w:rPr>
          <w:rFonts w:ascii="宋体" w:hAnsi="宋体" w:eastAsia="仿宋_GB2312"/>
          <w:snapToGrid w:val="0"/>
          <w:sz w:val="32"/>
          <w:szCs w:val="32"/>
        </w:rPr>
        <w:t xml:space="preserve">  </w:t>
      </w:r>
      <w:r>
        <w:rPr>
          <w:rFonts w:hint="eastAsia" w:ascii="宋体" w:hAnsi="宋体" w:eastAsia="仿宋_GB2312"/>
          <w:snapToGrid w:val="0"/>
          <w:sz w:val="32"/>
          <w:szCs w:val="32"/>
        </w:rPr>
        <w:t>人民法院对于经审查符合立案条件且依法可以调解的行政诉讼案件，根据案件具体情况和当事人意愿，在立案前进行调解。</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第三十九条</w:t>
      </w:r>
      <w:r>
        <w:rPr>
          <w:rFonts w:ascii="宋体" w:hAnsi="宋体" w:eastAsia="仿宋_GB2312"/>
          <w:snapToGrid w:val="0"/>
          <w:sz w:val="32"/>
          <w:szCs w:val="32"/>
        </w:rPr>
        <w:t xml:space="preserve">  </w:t>
      </w:r>
      <w:r>
        <w:rPr>
          <w:rFonts w:hint="eastAsia" w:ascii="宋体" w:hAnsi="宋体" w:eastAsia="仿宋_GB2312"/>
          <w:snapToGrid w:val="0"/>
          <w:sz w:val="32"/>
          <w:szCs w:val="32"/>
        </w:rPr>
        <w:t>人民检察院依法开展刑事和解工作，健全检调对接制度，完善参与化解纠纷工作机制，引导当事人选择适宜的途径解决纠纷。</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第四十条</w:t>
      </w:r>
      <w:r>
        <w:rPr>
          <w:rFonts w:ascii="宋体" w:hAnsi="宋体" w:eastAsia="仿宋_GB2312"/>
          <w:snapToGrid w:val="0"/>
          <w:sz w:val="32"/>
          <w:szCs w:val="32"/>
        </w:rPr>
        <w:t xml:space="preserve">  </w:t>
      </w:r>
      <w:r>
        <w:rPr>
          <w:rFonts w:hint="eastAsia" w:ascii="宋体" w:hAnsi="宋体" w:eastAsia="仿宋_GB2312"/>
          <w:snapToGrid w:val="0"/>
          <w:sz w:val="32"/>
          <w:szCs w:val="32"/>
        </w:rPr>
        <w:t>当事人应当履行依法自愿达成的和解协议、调解协议。调解组织应当引导、督促当事人自觉履行调解协议。</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具有给付内容、债权债务关系明确、载明债务人愿意接受强制执行承诺的和解、调解协议，当事人可以依法向公证机构申请办理具有强制执行效力的公证债权文书。</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对以金钱、有价证券为给付内容的和解协议、调解协议，当事人可以依法向有管辖权的人民法院申请支付令。</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第四十一条</w:t>
      </w:r>
      <w:r>
        <w:rPr>
          <w:rFonts w:ascii="宋体" w:hAnsi="宋体" w:eastAsia="仿宋_GB2312"/>
          <w:snapToGrid w:val="0"/>
          <w:sz w:val="32"/>
          <w:szCs w:val="32"/>
        </w:rPr>
        <w:t xml:space="preserve">  </w:t>
      </w:r>
      <w:r>
        <w:rPr>
          <w:rFonts w:hint="eastAsia" w:ascii="宋体" w:hAnsi="宋体" w:eastAsia="仿宋_GB2312"/>
          <w:snapToGrid w:val="0"/>
          <w:sz w:val="32"/>
          <w:szCs w:val="32"/>
        </w:rPr>
        <w:t>经行政机关、人民调解组织、行业性专业性调解组织、商事调解组织或者其他具有调解职能的组织调解达成的具有民事合同性质的协议，以及在登记立案前由人民法院委派给特邀调解组织、特邀调解员调解达成的协议，当事人可以依法向有管辖权的人民法院申请司法确认。</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人民法院加强与辖区内行政机关和调解组织的对接，完善相关审查工作程序，依法对调解协议进行法律审查和效力确认。</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人民法院应当通过推进在线司法确认等方式，提高司法确认效率。</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第四十二条</w:t>
      </w:r>
      <w:r>
        <w:rPr>
          <w:rFonts w:ascii="宋体" w:hAnsi="宋体" w:eastAsia="黑体"/>
          <w:snapToGrid w:val="0"/>
          <w:sz w:val="32"/>
          <w:szCs w:val="32"/>
        </w:rPr>
        <w:t xml:space="preserve"> </w:t>
      </w:r>
      <w:r>
        <w:rPr>
          <w:rFonts w:ascii="宋体" w:hAnsi="宋体" w:eastAsia="仿宋_GB2312"/>
          <w:snapToGrid w:val="0"/>
          <w:sz w:val="32"/>
          <w:szCs w:val="32"/>
        </w:rPr>
        <w:t xml:space="preserve"> </w:t>
      </w:r>
      <w:r>
        <w:rPr>
          <w:rFonts w:hint="eastAsia" w:ascii="宋体" w:hAnsi="宋体" w:eastAsia="仿宋_GB2312"/>
          <w:snapToGrid w:val="0"/>
          <w:sz w:val="32"/>
          <w:szCs w:val="32"/>
        </w:rPr>
        <w:t>调解组织、仲裁机构等纠纷化解主体应当防范虚假调解、和解。</w:t>
      </w:r>
    </w:p>
    <w:p>
      <w:pPr>
        <w:topLinePunct/>
        <w:adjustRightInd w:val="0"/>
        <w:snapToGrid w:val="0"/>
        <w:spacing w:line="592" w:lineRule="exact"/>
        <w:ind w:firstLine="640" w:firstLineChars="200"/>
        <w:rPr>
          <w:rFonts w:ascii="宋体" w:hAnsi="宋体" w:eastAsia="仿宋_GB2312"/>
          <w:snapToGrid w:val="0"/>
          <w:sz w:val="32"/>
          <w:szCs w:val="32"/>
        </w:rPr>
      </w:pPr>
    </w:p>
    <w:p>
      <w:pPr>
        <w:topLinePunct/>
        <w:adjustRightInd w:val="0"/>
        <w:snapToGrid w:val="0"/>
        <w:spacing w:line="592" w:lineRule="exact"/>
        <w:jc w:val="center"/>
        <w:rPr>
          <w:rFonts w:ascii="宋体" w:hAnsi="宋体" w:eastAsia="黑体"/>
          <w:snapToGrid w:val="0"/>
          <w:sz w:val="32"/>
          <w:szCs w:val="32"/>
        </w:rPr>
      </w:pPr>
      <w:r>
        <w:rPr>
          <w:rFonts w:hint="eastAsia" w:ascii="宋体" w:hAnsi="宋体" w:eastAsia="黑体"/>
          <w:snapToGrid w:val="0"/>
          <w:sz w:val="32"/>
          <w:szCs w:val="32"/>
        </w:rPr>
        <w:t>第六章</w:t>
      </w:r>
      <w:r>
        <w:rPr>
          <w:rFonts w:ascii="宋体" w:hAnsi="宋体" w:eastAsia="黑体"/>
          <w:snapToGrid w:val="0"/>
          <w:sz w:val="32"/>
          <w:szCs w:val="32"/>
        </w:rPr>
        <w:t xml:space="preserve">  </w:t>
      </w:r>
      <w:r>
        <w:rPr>
          <w:rFonts w:hint="eastAsia" w:ascii="宋体" w:hAnsi="宋体" w:eastAsia="黑体"/>
          <w:snapToGrid w:val="0"/>
          <w:sz w:val="32"/>
          <w:szCs w:val="32"/>
        </w:rPr>
        <w:t>保障制度</w:t>
      </w:r>
    </w:p>
    <w:p>
      <w:pPr>
        <w:topLinePunct/>
        <w:adjustRightInd w:val="0"/>
        <w:snapToGrid w:val="0"/>
        <w:spacing w:line="592" w:lineRule="exact"/>
        <w:jc w:val="center"/>
        <w:rPr>
          <w:rFonts w:ascii="宋体" w:hAnsi="宋体" w:eastAsia="黑体"/>
          <w:snapToGrid w:val="0"/>
          <w:sz w:val="32"/>
          <w:szCs w:val="32"/>
        </w:rPr>
      </w:pPr>
    </w:p>
    <w:p>
      <w:pPr>
        <w:topLinePunct/>
        <w:adjustRightInd w:val="0"/>
        <w:snapToGrid w:val="0"/>
        <w:spacing w:line="592" w:lineRule="exact"/>
        <w:ind w:firstLine="640" w:firstLineChars="200"/>
        <w:rPr>
          <w:rFonts w:ascii="宋体" w:hAnsi="宋体" w:eastAsia="仿宋_GB2312"/>
          <w:snapToGrid w:val="0"/>
          <w:spacing w:val="-4"/>
          <w:sz w:val="32"/>
          <w:szCs w:val="32"/>
        </w:rPr>
      </w:pPr>
      <w:r>
        <w:rPr>
          <w:rFonts w:hint="eastAsia" w:ascii="宋体" w:hAnsi="宋体" w:eastAsia="黑体"/>
          <w:snapToGrid w:val="0"/>
          <w:sz w:val="32"/>
          <w:szCs w:val="32"/>
        </w:rPr>
        <w:t>第四十三条</w:t>
      </w:r>
      <w:r>
        <w:rPr>
          <w:rFonts w:ascii="宋体" w:hAnsi="宋体" w:eastAsia="仿宋_GB2312"/>
          <w:snapToGrid w:val="0"/>
          <w:sz w:val="32"/>
          <w:szCs w:val="32"/>
        </w:rPr>
        <w:t xml:space="preserve">  </w:t>
      </w:r>
      <w:r>
        <w:rPr>
          <w:rFonts w:hint="eastAsia" w:ascii="宋体" w:hAnsi="宋体" w:eastAsia="仿宋_GB2312"/>
          <w:snapToGrid w:val="0"/>
          <w:spacing w:val="-4"/>
          <w:sz w:val="32"/>
          <w:szCs w:val="32"/>
        </w:rPr>
        <w:t>司法行政部门、有关行业主管部门应当建立健全调解组织和调解员名册管理制度，公开调解组织和调解员名册。</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人民法院应当结合审判工作实际，建立特邀调解组织、特邀调解员名册制度。</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基层人民法院应当建立指导人民调解委员会调解民间纠纷的法官名册，健全庭审指导、案例指导、案件讲评等业务指导形式。</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市、县（市、区）司法行政部门负责制定人民调解员培训规划，每年至少开展一次人民调解员任职培训，每三年完成一次人民调解员轮训。</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第四十四条</w:t>
      </w:r>
      <w:r>
        <w:rPr>
          <w:rFonts w:ascii="宋体" w:hAnsi="宋体" w:eastAsia="黑体"/>
          <w:snapToGrid w:val="0"/>
          <w:sz w:val="32"/>
          <w:szCs w:val="32"/>
        </w:rPr>
        <w:t xml:space="preserve"> </w:t>
      </w:r>
      <w:r>
        <w:rPr>
          <w:rFonts w:ascii="宋体" w:hAnsi="宋体" w:eastAsia="仿宋_GB2312"/>
          <w:snapToGrid w:val="0"/>
          <w:sz w:val="32"/>
          <w:szCs w:val="32"/>
        </w:rPr>
        <w:t xml:space="preserve"> </w:t>
      </w:r>
      <w:r>
        <w:rPr>
          <w:rFonts w:hint="eastAsia" w:ascii="宋体" w:hAnsi="宋体" w:eastAsia="仿宋_GB2312"/>
          <w:snapToGrid w:val="0"/>
          <w:sz w:val="32"/>
          <w:szCs w:val="32"/>
        </w:rPr>
        <w:t>鼓励通过互联网办理案件在线受理、开庭、司法确认等活动，推进多元化解纠纷工作。</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第四十五条</w:t>
      </w:r>
      <w:r>
        <w:rPr>
          <w:rFonts w:ascii="宋体" w:hAnsi="宋体" w:eastAsia="仿宋_GB2312"/>
          <w:snapToGrid w:val="0"/>
          <w:sz w:val="32"/>
          <w:szCs w:val="32"/>
        </w:rPr>
        <w:t xml:space="preserve">  </w:t>
      </w:r>
      <w:r>
        <w:rPr>
          <w:rFonts w:hint="eastAsia" w:ascii="宋体" w:hAnsi="宋体" w:eastAsia="仿宋_GB2312"/>
          <w:snapToGrid w:val="0"/>
          <w:sz w:val="32"/>
          <w:szCs w:val="32"/>
        </w:rPr>
        <w:t>当事人在纠纷解决过程中符合法律援助条件的，法律援助机构应当依法提供援助；符合司法救助或者其他社会救助条件的，司法机关或者其他社会救助机构应当提供救助。</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第四十六条</w:t>
      </w:r>
      <w:r>
        <w:rPr>
          <w:rFonts w:ascii="宋体" w:hAnsi="宋体" w:eastAsia="仿宋_GB2312"/>
          <w:snapToGrid w:val="0"/>
          <w:sz w:val="32"/>
          <w:szCs w:val="32"/>
        </w:rPr>
        <w:t xml:space="preserve">  </w:t>
      </w:r>
      <w:r>
        <w:rPr>
          <w:rFonts w:hint="eastAsia" w:ascii="宋体" w:hAnsi="宋体" w:eastAsia="仿宋_GB2312"/>
          <w:snapToGrid w:val="0"/>
          <w:sz w:val="32"/>
          <w:szCs w:val="32"/>
        </w:rPr>
        <w:t>市、县（市、区）人民政府应当将多元化解纠纷工作经费依法纳入预算。</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对人民法院的特邀调解员、委派调解员，人民调解委员会选聘的人民调解员，劳动人事争议调解仲裁委员会选聘的调解员、仲裁员，农村土地承包经营纠纷调解组织选聘的调解员，应当结合实际情况，根据有关规定落实相关保障。</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符合政府购买服务主体资格的各级国家机关，可以通过政府购买服务等方式，支持有条件的社会组织化解纠纷，所需服务事项纳入政府购买服务指导性目录。</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第四十七条</w:t>
      </w:r>
      <w:r>
        <w:rPr>
          <w:rFonts w:ascii="宋体" w:hAnsi="宋体" w:eastAsia="仿宋_GB2312"/>
          <w:snapToGrid w:val="0"/>
          <w:sz w:val="32"/>
          <w:szCs w:val="32"/>
        </w:rPr>
        <w:t xml:space="preserve">  </w:t>
      </w:r>
      <w:r>
        <w:rPr>
          <w:rFonts w:hint="eastAsia" w:ascii="宋体" w:hAnsi="宋体" w:eastAsia="仿宋_GB2312"/>
          <w:snapToGrid w:val="0"/>
          <w:sz w:val="32"/>
          <w:szCs w:val="32"/>
        </w:rPr>
        <w:t>人民调解、行政调解不收取费用。</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实行市场化运行的调解组织调解纠纷，可以收取合理费用，收费标准应当符合价格管理的有关规定，并向社会公开。</w:t>
      </w:r>
    </w:p>
    <w:p>
      <w:pPr>
        <w:topLinePunct/>
        <w:adjustRightInd w:val="0"/>
        <w:snapToGrid w:val="0"/>
        <w:spacing w:line="592" w:lineRule="exact"/>
        <w:ind w:firstLine="640" w:firstLineChars="200"/>
        <w:rPr>
          <w:rFonts w:ascii="宋体" w:hAnsi="宋体" w:eastAsia="仿宋_GB2312"/>
          <w:snapToGrid w:val="0"/>
          <w:sz w:val="32"/>
          <w:szCs w:val="32"/>
        </w:rPr>
      </w:pPr>
    </w:p>
    <w:p>
      <w:pPr>
        <w:topLinePunct/>
        <w:adjustRightInd w:val="0"/>
        <w:snapToGrid w:val="0"/>
        <w:spacing w:line="592" w:lineRule="exact"/>
        <w:jc w:val="center"/>
        <w:rPr>
          <w:rFonts w:ascii="宋体" w:hAnsi="宋体" w:eastAsia="黑体"/>
          <w:snapToGrid w:val="0"/>
          <w:sz w:val="32"/>
          <w:szCs w:val="32"/>
        </w:rPr>
      </w:pPr>
      <w:r>
        <w:rPr>
          <w:rFonts w:hint="eastAsia" w:ascii="宋体" w:hAnsi="宋体" w:eastAsia="黑体"/>
          <w:snapToGrid w:val="0"/>
          <w:sz w:val="32"/>
          <w:szCs w:val="32"/>
        </w:rPr>
        <w:t>第七章</w:t>
      </w:r>
      <w:r>
        <w:rPr>
          <w:rFonts w:ascii="宋体" w:hAnsi="宋体" w:eastAsia="黑体"/>
          <w:snapToGrid w:val="0"/>
          <w:sz w:val="32"/>
          <w:szCs w:val="32"/>
        </w:rPr>
        <w:t xml:space="preserve">  </w:t>
      </w:r>
      <w:r>
        <w:rPr>
          <w:rFonts w:hint="eastAsia" w:ascii="宋体" w:hAnsi="宋体" w:eastAsia="黑体"/>
          <w:snapToGrid w:val="0"/>
          <w:sz w:val="32"/>
          <w:szCs w:val="32"/>
        </w:rPr>
        <w:t>监督管理</w:t>
      </w:r>
    </w:p>
    <w:p>
      <w:pPr>
        <w:topLinePunct/>
        <w:adjustRightInd w:val="0"/>
        <w:snapToGrid w:val="0"/>
        <w:spacing w:line="592" w:lineRule="exact"/>
        <w:jc w:val="center"/>
        <w:rPr>
          <w:rFonts w:ascii="宋体" w:hAnsi="宋体" w:eastAsia="黑体"/>
          <w:snapToGrid w:val="0"/>
          <w:sz w:val="32"/>
          <w:szCs w:val="32"/>
        </w:rPr>
      </w:pP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第四十八条</w:t>
      </w:r>
      <w:r>
        <w:rPr>
          <w:rFonts w:ascii="宋体" w:hAnsi="宋体" w:eastAsia="仿宋_GB2312"/>
          <w:snapToGrid w:val="0"/>
          <w:sz w:val="32"/>
          <w:szCs w:val="32"/>
        </w:rPr>
        <w:t xml:space="preserve">  </w:t>
      </w:r>
      <w:r>
        <w:rPr>
          <w:rFonts w:hint="eastAsia" w:ascii="宋体" w:hAnsi="宋体" w:eastAsia="仿宋_GB2312"/>
          <w:snapToGrid w:val="0"/>
          <w:sz w:val="32"/>
          <w:szCs w:val="32"/>
        </w:rPr>
        <w:t>统筹协调多元化解纠纷工作的机构应当将多元化解纠纷工作纳入平安建设考核内容，对作出显著成绩的单位和个人按照国家有关规定给予奖励。</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第四十九条</w:t>
      </w:r>
      <w:r>
        <w:rPr>
          <w:rFonts w:ascii="宋体" w:hAnsi="宋体" w:eastAsia="仿宋_GB2312"/>
          <w:snapToGrid w:val="0"/>
          <w:sz w:val="32"/>
          <w:szCs w:val="32"/>
        </w:rPr>
        <w:t xml:space="preserve">  </w:t>
      </w:r>
      <w:r>
        <w:rPr>
          <w:rFonts w:hint="eastAsia" w:ascii="宋体" w:hAnsi="宋体" w:eastAsia="仿宋_GB2312"/>
          <w:snapToGrid w:val="0"/>
          <w:sz w:val="32"/>
          <w:szCs w:val="32"/>
        </w:rPr>
        <w:t>公民、法人或者其他组织有权对违反本条例的行为进行投诉、举报。接到投诉、举报的部门、调解组织或者行业协会应当及时处理。</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第五十条</w:t>
      </w:r>
      <w:r>
        <w:rPr>
          <w:rFonts w:ascii="宋体" w:hAnsi="宋体" w:eastAsia="仿宋_GB2312"/>
          <w:snapToGrid w:val="0"/>
          <w:sz w:val="32"/>
          <w:szCs w:val="32"/>
        </w:rPr>
        <w:t xml:space="preserve">  </w:t>
      </w:r>
      <w:r>
        <w:rPr>
          <w:rFonts w:hint="eastAsia" w:ascii="宋体" w:hAnsi="宋体" w:eastAsia="仿宋_GB2312"/>
          <w:snapToGrid w:val="0"/>
          <w:sz w:val="32"/>
          <w:szCs w:val="32"/>
        </w:rPr>
        <w:t>人民政府及其部门、人民法院、人民检察院、人民团体、基层群众性自治组织和其他社会组织有下列行为之一的，由有关主管机关责令改正；拒不改正或者造成严重后果的，依法追究直接负责的主管人员和其他直接责任人员的责任：</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（一）未建立或者未落实纠纷预防化解工作机制的；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（二）负有纠纷化解职责，无正当理由，拒不受理纠纷化解申请的；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（三）没有采取有效措施预防纠纷，或者化解纠纷不及时的；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（四）对排查出的纠纷迟报、漏报、瞒报的；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（五）工作中存在重大决策失误和失职失责的；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（六）未履行本条例规定的其他义务的。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第五十一条</w:t>
      </w:r>
      <w:r>
        <w:rPr>
          <w:rFonts w:ascii="宋体" w:hAnsi="宋体" w:eastAsia="仿宋_GB2312"/>
          <w:snapToGrid w:val="0"/>
          <w:sz w:val="32"/>
          <w:szCs w:val="32"/>
        </w:rPr>
        <w:t xml:space="preserve">  </w:t>
      </w:r>
      <w:r>
        <w:rPr>
          <w:rFonts w:hint="eastAsia" w:ascii="宋体" w:hAnsi="宋体" w:eastAsia="仿宋_GB2312"/>
          <w:snapToGrid w:val="0"/>
          <w:sz w:val="32"/>
          <w:szCs w:val="32"/>
        </w:rPr>
        <w:t>调解员在调解工作中有下列行为之一的，由其所在调解组织给予批评教育、责令改正；情节严重的，由推选或者聘任单位予以罢免或者解聘；造成严重后果的，依法追究相应责任：</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（一）偏袒一方当事人的；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（二）侮辱、恐吓当事人的；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（三）收取、索取当事人财物或者牟取其他不正当利益的；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仿宋_GB2312"/>
          <w:snapToGrid w:val="0"/>
          <w:sz w:val="32"/>
          <w:szCs w:val="32"/>
        </w:rPr>
        <w:t>（四）泄漏国家秘密、当事人隐私或者商业秘密的。</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第五十二条</w:t>
      </w:r>
      <w:r>
        <w:rPr>
          <w:rFonts w:ascii="宋体" w:hAnsi="宋体" w:eastAsia="仿宋_GB2312"/>
          <w:snapToGrid w:val="0"/>
          <w:sz w:val="32"/>
          <w:szCs w:val="32"/>
        </w:rPr>
        <w:t xml:space="preserve">  </w:t>
      </w:r>
      <w:r>
        <w:rPr>
          <w:rFonts w:hint="eastAsia" w:ascii="宋体" w:hAnsi="宋体" w:eastAsia="仿宋_GB2312"/>
          <w:snapToGrid w:val="0"/>
          <w:sz w:val="32"/>
          <w:szCs w:val="32"/>
        </w:rPr>
        <w:t>当事人在纠纷化解过程中扰乱纠纷化解工作秩序，侮辱纠纷化解工作人员或者对方当事人的，纠纷化解工作人员可以终止纠纷化解工作，违反《中华人民共和国治安管理处罚法》的，由公安机关依法予以处罚。</w:t>
      </w: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第五十三条</w:t>
      </w:r>
      <w:r>
        <w:rPr>
          <w:rFonts w:ascii="宋体" w:hAnsi="宋体" w:eastAsia="仿宋_GB2312"/>
          <w:snapToGrid w:val="0"/>
          <w:sz w:val="32"/>
          <w:szCs w:val="32"/>
        </w:rPr>
        <w:t xml:space="preserve">  </w:t>
      </w:r>
      <w:r>
        <w:rPr>
          <w:rFonts w:hint="eastAsia" w:ascii="宋体" w:hAnsi="宋体" w:eastAsia="仿宋_GB2312"/>
          <w:snapToGrid w:val="0"/>
          <w:sz w:val="32"/>
          <w:szCs w:val="32"/>
        </w:rPr>
        <w:t>违反本条例的行为，法律、法规已有规定的，从其规定。</w:t>
      </w:r>
    </w:p>
    <w:p>
      <w:pPr>
        <w:topLinePunct/>
        <w:adjustRightInd w:val="0"/>
        <w:snapToGrid w:val="0"/>
        <w:spacing w:line="592" w:lineRule="exact"/>
        <w:ind w:firstLine="640" w:firstLineChars="200"/>
        <w:rPr>
          <w:rFonts w:ascii="宋体" w:hAnsi="宋体" w:eastAsia="仿宋_GB2312"/>
          <w:snapToGrid w:val="0"/>
          <w:sz w:val="32"/>
          <w:szCs w:val="32"/>
        </w:rPr>
      </w:pPr>
    </w:p>
    <w:p>
      <w:pPr>
        <w:topLinePunct/>
        <w:adjustRightInd w:val="0"/>
        <w:snapToGrid w:val="0"/>
        <w:spacing w:line="592" w:lineRule="exact"/>
        <w:jc w:val="center"/>
        <w:rPr>
          <w:rFonts w:ascii="宋体" w:hAnsi="宋体" w:eastAsia="黑体"/>
          <w:snapToGrid w:val="0"/>
          <w:sz w:val="32"/>
          <w:szCs w:val="32"/>
        </w:rPr>
      </w:pPr>
      <w:r>
        <w:rPr>
          <w:rFonts w:hint="eastAsia" w:ascii="宋体" w:hAnsi="宋体" w:eastAsia="黑体"/>
          <w:snapToGrid w:val="0"/>
          <w:sz w:val="32"/>
          <w:szCs w:val="32"/>
        </w:rPr>
        <w:t>第八章</w:t>
      </w:r>
      <w:r>
        <w:rPr>
          <w:rFonts w:ascii="宋体" w:hAnsi="宋体" w:eastAsia="黑体"/>
          <w:snapToGrid w:val="0"/>
          <w:sz w:val="32"/>
          <w:szCs w:val="32"/>
        </w:rPr>
        <w:t xml:space="preserve">  </w:t>
      </w:r>
      <w:r>
        <w:rPr>
          <w:rFonts w:hint="eastAsia" w:ascii="宋体" w:hAnsi="宋体" w:eastAsia="黑体"/>
          <w:snapToGrid w:val="0"/>
          <w:sz w:val="32"/>
          <w:szCs w:val="32"/>
        </w:rPr>
        <w:t>附</w:t>
      </w:r>
      <w:r>
        <w:rPr>
          <w:rFonts w:ascii="宋体" w:hAnsi="宋体" w:eastAsia="黑体"/>
          <w:snapToGrid w:val="0"/>
          <w:sz w:val="32"/>
          <w:szCs w:val="32"/>
        </w:rPr>
        <w:t xml:space="preserve">  </w:t>
      </w:r>
      <w:r>
        <w:rPr>
          <w:rFonts w:hint="eastAsia" w:ascii="宋体" w:hAnsi="宋体" w:eastAsia="黑体"/>
          <w:snapToGrid w:val="0"/>
          <w:sz w:val="32"/>
          <w:szCs w:val="32"/>
        </w:rPr>
        <w:t>则</w:t>
      </w:r>
    </w:p>
    <w:p>
      <w:pPr>
        <w:topLinePunct/>
        <w:adjustRightInd w:val="0"/>
        <w:snapToGrid w:val="0"/>
        <w:spacing w:line="592" w:lineRule="exact"/>
        <w:jc w:val="center"/>
        <w:rPr>
          <w:rFonts w:ascii="宋体" w:hAnsi="宋体" w:eastAsia="黑体"/>
          <w:snapToGrid w:val="0"/>
          <w:sz w:val="32"/>
          <w:szCs w:val="32"/>
        </w:rPr>
      </w:pPr>
    </w:p>
    <w:p>
      <w:pPr>
        <w:topLinePunct/>
        <w:adjustRightInd w:val="0"/>
        <w:snapToGrid w:val="0"/>
        <w:spacing w:line="592" w:lineRule="exact"/>
        <w:ind w:firstLine="640" w:firstLineChars="200"/>
        <w:rPr>
          <w:rFonts w:ascii="宋体" w:hAnsi="宋体" w:eastAsia="仿宋_GB2312"/>
          <w:snapToGrid w:val="0"/>
          <w:sz w:val="32"/>
          <w:szCs w:val="32"/>
        </w:rPr>
      </w:pPr>
      <w:r>
        <w:rPr>
          <w:rFonts w:hint="eastAsia" w:ascii="宋体" w:hAnsi="宋体" w:eastAsia="黑体"/>
          <w:snapToGrid w:val="0"/>
          <w:sz w:val="32"/>
          <w:szCs w:val="32"/>
        </w:rPr>
        <w:t>第五十四条</w:t>
      </w:r>
      <w:r>
        <w:rPr>
          <w:rFonts w:ascii="宋体" w:hAnsi="宋体" w:eastAsia="仿宋_GB2312"/>
          <w:snapToGrid w:val="0"/>
          <w:sz w:val="32"/>
          <w:szCs w:val="32"/>
        </w:rPr>
        <w:t xml:space="preserve">  </w:t>
      </w:r>
      <w:r>
        <w:rPr>
          <w:rFonts w:hint="eastAsia" w:ascii="宋体" w:hAnsi="宋体" w:eastAsia="仿宋_GB2312"/>
          <w:snapToGrid w:val="0"/>
          <w:sz w:val="32"/>
          <w:szCs w:val="32"/>
        </w:rPr>
        <w:t>本条例自</w:t>
      </w:r>
      <w:r>
        <w:rPr>
          <w:rFonts w:ascii="宋体" w:hAnsi="宋体" w:eastAsia="仿宋_GB2312"/>
          <w:snapToGrid w:val="0"/>
          <w:sz w:val="32"/>
          <w:szCs w:val="32"/>
        </w:rPr>
        <w:t>2022</w:t>
      </w:r>
      <w:r>
        <w:rPr>
          <w:rFonts w:hint="eastAsia" w:ascii="宋体" w:hAnsi="宋体" w:eastAsia="仿宋_GB2312"/>
          <w:snapToGrid w:val="0"/>
          <w:sz w:val="32"/>
          <w:szCs w:val="32"/>
        </w:rPr>
        <w:t>年</w:t>
      </w:r>
      <w:r>
        <w:rPr>
          <w:rFonts w:ascii="宋体" w:hAnsi="宋体" w:eastAsia="仿宋_GB2312"/>
          <w:snapToGrid w:val="0"/>
          <w:sz w:val="32"/>
          <w:szCs w:val="32"/>
        </w:rPr>
        <w:t>3</w:t>
      </w:r>
      <w:r>
        <w:rPr>
          <w:rFonts w:hint="eastAsia" w:ascii="宋体" w:hAnsi="宋体" w:eastAsia="仿宋_GB2312"/>
          <w:snapToGrid w:val="0"/>
          <w:sz w:val="32"/>
          <w:szCs w:val="32"/>
        </w:rPr>
        <w:t>月</w:t>
      </w:r>
      <w:r>
        <w:rPr>
          <w:rFonts w:ascii="宋体" w:hAnsi="宋体" w:eastAsia="仿宋_GB2312"/>
          <w:snapToGrid w:val="0"/>
          <w:sz w:val="32"/>
          <w:szCs w:val="32"/>
        </w:rPr>
        <w:t>1</w:t>
      </w:r>
      <w:r>
        <w:rPr>
          <w:rFonts w:hint="eastAsia" w:ascii="宋体" w:hAnsi="宋体" w:eastAsia="仿宋_GB2312"/>
          <w:snapToGrid w:val="0"/>
          <w:sz w:val="32"/>
          <w:szCs w:val="32"/>
        </w:rPr>
        <w:t>日起施行。</w:t>
      </w:r>
    </w:p>
    <w:p>
      <w:pPr>
        <w:pStyle w:val="7"/>
        <w:topLinePunct/>
        <w:adjustRightInd w:val="0"/>
        <w:snapToGrid w:val="0"/>
        <w:spacing w:line="592" w:lineRule="exact"/>
        <w:ind w:firstLine="200"/>
        <w:jc w:val="both"/>
        <w:rPr>
          <w:rFonts w:ascii="宋体" w:hAnsi="宋体" w:eastAsia="仿宋_GB2312"/>
          <w:snapToGrid w:val="0"/>
        </w:rPr>
      </w:pPr>
    </w:p>
    <w:p>
      <w:pPr>
        <w:pStyle w:val="7"/>
        <w:topLinePunct/>
        <w:adjustRightInd w:val="0"/>
        <w:snapToGrid w:val="0"/>
        <w:spacing w:line="592" w:lineRule="exact"/>
        <w:ind w:firstLine="200"/>
        <w:jc w:val="both"/>
        <w:rPr>
          <w:rFonts w:ascii="宋体" w:eastAsia="宋体"/>
          <w:snapToGrid w:val="0"/>
        </w:rPr>
      </w:pPr>
    </w:p>
    <w:sectPr>
      <w:headerReference r:id="rId3" w:type="default"/>
      <w:footerReference r:id="rId5" w:type="default"/>
      <w:headerReference r:id="rId4" w:type="even"/>
      <w:footerReference r:id="rId6" w:type="even"/>
      <w:pgSz w:w="11906" w:h="16838"/>
      <w:pgMar w:top="1928" w:right="1531" w:bottom="1871" w:left="1531" w:header="1418"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_GB2312">
    <w:altName w:val="Times New Roman"/>
    <w:panose1 w:val="00000000000000000000"/>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
    <w:altName w:val="Times New Roman"/>
    <w:panose1 w:val="00000000000000000000"/>
    <w:charset w:val="00"/>
    <w:family w:val="roman"/>
    <w:pitch w:val="default"/>
    <w:sig w:usb0="00000000" w:usb1="00000000" w:usb2="00000000" w:usb3="00000000" w:csb0="00000001"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FZ Extra BSK">
    <w:altName w:val="宋体"/>
    <w:panose1 w:val="00000000000000000000"/>
    <w:charset w:val="86"/>
    <w:family w:val="swiss"/>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方正楷体_GBK">
    <w:altName w:val="微软雅黑"/>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rPr>
        <w:rFonts w:ascii="宋体"/>
        <w:sz w:val="28"/>
        <w:szCs w:val="28"/>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宋体"/>
        <w:sz w:val="28"/>
        <w:szCs w:val="28"/>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8D3"/>
    <w:rsid w:val="000012B1"/>
    <w:rsid w:val="000013A7"/>
    <w:rsid w:val="000016C2"/>
    <w:rsid w:val="000016F2"/>
    <w:rsid w:val="00001A60"/>
    <w:rsid w:val="00001D2E"/>
    <w:rsid w:val="00002075"/>
    <w:rsid w:val="000023FC"/>
    <w:rsid w:val="00004F70"/>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4274"/>
    <w:rsid w:val="00015779"/>
    <w:rsid w:val="000163AD"/>
    <w:rsid w:val="0001685A"/>
    <w:rsid w:val="00016A91"/>
    <w:rsid w:val="00016C25"/>
    <w:rsid w:val="00016F76"/>
    <w:rsid w:val="000179C6"/>
    <w:rsid w:val="00017A47"/>
    <w:rsid w:val="00017FBD"/>
    <w:rsid w:val="00021521"/>
    <w:rsid w:val="000226C3"/>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28D1"/>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97"/>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0D7"/>
    <w:rsid w:val="000736D4"/>
    <w:rsid w:val="00073BDE"/>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CBF"/>
    <w:rsid w:val="000B7F2C"/>
    <w:rsid w:val="000C049A"/>
    <w:rsid w:val="000C0FF6"/>
    <w:rsid w:val="000C2208"/>
    <w:rsid w:val="000C23C9"/>
    <w:rsid w:val="000C2817"/>
    <w:rsid w:val="000C339A"/>
    <w:rsid w:val="000C4718"/>
    <w:rsid w:val="000C4A75"/>
    <w:rsid w:val="000C5D37"/>
    <w:rsid w:val="000C5DF1"/>
    <w:rsid w:val="000C5F84"/>
    <w:rsid w:val="000C6949"/>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21AC"/>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058"/>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6"/>
    <w:rsid w:val="0017141B"/>
    <w:rsid w:val="00171422"/>
    <w:rsid w:val="00172118"/>
    <w:rsid w:val="0017224B"/>
    <w:rsid w:val="001729D4"/>
    <w:rsid w:val="0017322E"/>
    <w:rsid w:val="001753F4"/>
    <w:rsid w:val="00175E15"/>
    <w:rsid w:val="00175FC6"/>
    <w:rsid w:val="00176D58"/>
    <w:rsid w:val="001771B4"/>
    <w:rsid w:val="00177BBC"/>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5E7"/>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E4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BA3"/>
    <w:rsid w:val="001E7E8D"/>
    <w:rsid w:val="001F071A"/>
    <w:rsid w:val="001F18F8"/>
    <w:rsid w:val="001F22FE"/>
    <w:rsid w:val="001F2357"/>
    <w:rsid w:val="001F2CC6"/>
    <w:rsid w:val="001F402F"/>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2EDF"/>
    <w:rsid w:val="00213AA5"/>
    <w:rsid w:val="00214006"/>
    <w:rsid w:val="002142D3"/>
    <w:rsid w:val="002144DA"/>
    <w:rsid w:val="0021481F"/>
    <w:rsid w:val="0021485D"/>
    <w:rsid w:val="00214CB5"/>
    <w:rsid w:val="0021552A"/>
    <w:rsid w:val="00215B38"/>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57B58"/>
    <w:rsid w:val="00260719"/>
    <w:rsid w:val="00260C24"/>
    <w:rsid w:val="00260E99"/>
    <w:rsid w:val="002626F8"/>
    <w:rsid w:val="0026270C"/>
    <w:rsid w:val="00262C5F"/>
    <w:rsid w:val="002631C8"/>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53E"/>
    <w:rsid w:val="00281967"/>
    <w:rsid w:val="002822CA"/>
    <w:rsid w:val="00282F2C"/>
    <w:rsid w:val="00283142"/>
    <w:rsid w:val="00283C31"/>
    <w:rsid w:val="002841E8"/>
    <w:rsid w:val="002855FC"/>
    <w:rsid w:val="00285C32"/>
    <w:rsid w:val="0028618B"/>
    <w:rsid w:val="00286DB3"/>
    <w:rsid w:val="00287756"/>
    <w:rsid w:val="00291065"/>
    <w:rsid w:val="00291744"/>
    <w:rsid w:val="0029226D"/>
    <w:rsid w:val="00292CA4"/>
    <w:rsid w:val="002932EA"/>
    <w:rsid w:val="00293509"/>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F7B"/>
    <w:rsid w:val="002A13F5"/>
    <w:rsid w:val="002A1B48"/>
    <w:rsid w:val="002A22BE"/>
    <w:rsid w:val="002A2682"/>
    <w:rsid w:val="002A2FA7"/>
    <w:rsid w:val="002A3B16"/>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38F6"/>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53EF"/>
    <w:rsid w:val="002D743E"/>
    <w:rsid w:val="002E19A9"/>
    <w:rsid w:val="002E2F1D"/>
    <w:rsid w:val="002E305B"/>
    <w:rsid w:val="002E35EE"/>
    <w:rsid w:val="002E3777"/>
    <w:rsid w:val="002E3F15"/>
    <w:rsid w:val="002E5499"/>
    <w:rsid w:val="002E5C9C"/>
    <w:rsid w:val="002E6B63"/>
    <w:rsid w:val="002E6D46"/>
    <w:rsid w:val="002E6E4F"/>
    <w:rsid w:val="002E77EF"/>
    <w:rsid w:val="002E7FDB"/>
    <w:rsid w:val="002F0747"/>
    <w:rsid w:val="002F1B9A"/>
    <w:rsid w:val="002F273B"/>
    <w:rsid w:val="002F2909"/>
    <w:rsid w:val="002F496E"/>
    <w:rsid w:val="002F4B5E"/>
    <w:rsid w:val="002F5128"/>
    <w:rsid w:val="002F5175"/>
    <w:rsid w:val="002F52A9"/>
    <w:rsid w:val="002F551B"/>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8E4"/>
    <w:rsid w:val="003074BB"/>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2DC"/>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43B2"/>
    <w:rsid w:val="003765A6"/>
    <w:rsid w:val="00376FC1"/>
    <w:rsid w:val="00377B5C"/>
    <w:rsid w:val="00377E15"/>
    <w:rsid w:val="003804A9"/>
    <w:rsid w:val="003810E0"/>
    <w:rsid w:val="003815FF"/>
    <w:rsid w:val="0038199B"/>
    <w:rsid w:val="00382A47"/>
    <w:rsid w:val="00383B16"/>
    <w:rsid w:val="00383D36"/>
    <w:rsid w:val="00383E48"/>
    <w:rsid w:val="0038435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1C3"/>
    <w:rsid w:val="003C030E"/>
    <w:rsid w:val="003C0A07"/>
    <w:rsid w:val="003C0CDA"/>
    <w:rsid w:val="003C0D7B"/>
    <w:rsid w:val="003C0E48"/>
    <w:rsid w:val="003C12CF"/>
    <w:rsid w:val="003C1EFC"/>
    <w:rsid w:val="003C2014"/>
    <w:rsid w:val="003C206E"/>
    <w:rsid w:val="003C21E3"/>
    <w:rsid w:val="003C5258"/>
    <w:rsid w:val="003C58DA"/>
    <w:rsid w:val="003C5E2E"/>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01D"/>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68A"/>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19A"/>
    <w:rsid w:val="004464C7"/>
    <w:rsid w:val="004468F9"/>
    <w:rsid w:val="00446DBB"/>
    <w:rsid w:val="00450750"/>
    <w:rsid w:val="00450BC6"/>
    <w:rsid w:val="004515B3"/>
    <w:rsid w:val="00451CA3"/>
    <w:rsid w:val="00451E7C"/>
    <w:rsid w:val="004528BE"/>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476"/>
    <w:rsid w:val="00482AFE"/>
    <w:rsid w:val="00482BB9"/>
    <w:rsid w:val="00483678"/>
    <w:rsid w:val="004837A0"/>
    <w:rsid w:val="0048391D"/>
    <w:rsid w:val="00484826"/>
    <w:rsid w:val="00484BE5"/>
    <w:rsid w:val="00485315"/>
    <w:rsid w:val="004867A9"/>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0D9C"/>
    <w:rsid w:val="004B28A9"/>
    <w:rsid w:val="004B4079"/>
    <w:rsid w:val="004B414E"/>
    <w:rsid w:val="004B4987"/>
    <w:rsid w:val="004B4E6F"/>
    <w:rsid w:val="004B5066"/>
    <w:rsid w:val="004B609C"/>
    <w:rsid w:val="004B630E"/>
    <w:rsid w:val="004B63A0"/>
    <w:rsid w:val="004B668D"/>
    <w:rsid w:val="004B79B9"/>
    <w:rsid w:val="004C0FED"/>
    <w:rsid w:val="004C12AD"/>
    <w:rsid w:val="004C14A8"/>
    <w:rsid w:val="004C2944"/>
    <w:rsid w:val="004C45DE"/>
    <w:rsid w:val="004C5639"/>
    <w:rsid w:val="004C5DCA"/>
    <w:rsid w:val="004C6CF7"/>
    <w:rsid w:val="004C717C"/>
    <w:rsid w:val="004C7CB2"/>
    <w:rsid w:val="004D09B9"/>
    <w:rsid w:val="004D0D6E"/>
    <w:rsid w:val="004D0E03"/>
    <w:rsid w:val="004D17D6"/>
    <w:rsid w:val="004D28A8"/>
    <w:rsid w:val="004D35DF"/>
    <w:rsid w:val="004D4469"/>
    <w:rsid w:val="004D4D94"/>
    <w:rsid w:val="004D64EA"/>
    <w:rsid w:val="004D6518"/>
    <w:rsid w:val="004D73C2"/>
    <w:rsid w:val="004D78B4"/>
    <w:rsid w:val="004D7EDC"/>
    <w:rsid w:val="004E0580"/>
    <w:rsid w:val="004E073B"/>
    <w:rsid w:val="004E1ED1"/>
    <w:rsid w:val="004E25DD"/>
    <w:rsid w:val="004E26D2"/>
    <w:rsid w:val="004E2747"/>
    <w:rsid w:val="004E2BB2"/>
    <w:rsid w:val="004E2E14"/>
    <w:rsid w:val="004E3149"/>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1DE"/>
    <w:rsid w:val="0054046C"/>
    <w:rsid w:val="00540A2D"/>
    <w:rsid w:val="00540F79"/>
    <w:rsid w:val="0054107D"/>
    <w:rsid w:val="005419E3"/>
    <w:rsid w:val="00541C3E"/>
    <w:rsid w:val="0054299C"/>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6F2E"/>
    <w:rsid w:val="005574CF"/>
    <w:rsid w:val="00560465"/>
    <w:rsid w:val="0056076E"/>
    <w:rsid w:val="005608F0"/>
    <w:rsid w:val="00560DB7"/>
    <w:rsid w:val="00561B20"/>
    <w:rsid w:val="00561E58"/>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C65"/>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490A"/>
    <w:rsid w:val="00585251"/>
    <w:rsid w:val="00585D13"/>
    <w:rsid w:val="00586DD0"/>
    <w:rsid w:val="00586FA7"/>
    <w:rsid w:val="0058783D"/>
    <w:rsid w:val="00587E13"/>
    <w:rsid w:val="005906E1"/>
    <w:rsid w:val="00590B05"/>
    <w:rsid w:val="00591953"/>
    <w:rsid w:val="0059218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4E8"/>
    <w:rsid w:val="005C275A"/>
    <w:rsid w:val="005C27D6"/>
    <w:rsid w:val="005C2C74"/>
    <w:rsid w:val="005C2CA1"/>
    <w:rsid w:val="005C3A0B"/>
    <w:rsid w:val="005C3C5E"/>
    <w:rsid w:val="005C41E5"/>
    <w:rsid w:val="005C48F5"/>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5F7DF3"/>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89F"/>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4DFD"/>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1B4E"/>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4DC2"/>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27FC5"/>
    <w:rsid w:val="00730C13"/>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1E8A"/>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0E5"/>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C48"/>
    <w:rsid w:val="00781D00"/>
    <w:rsid w:val="00782E64"/>
    <w:rsid w:val="00783028"/>
    <w:rsid w:val="00783B99"/>
    <w:rsid w:val="0078458D"/>
    <w:rsid w:val="00784643"/>
    <w:rsid w:val="00785565"/>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55F"/>
    <w:rsid w:val="007A287A"/>
    <w:rsid w:val="007A2F56"/>
    <w:rsid w:val="007A2F8D"/>
    <w:rsid w:val="007A310F"/>
    <w:rsid w:val="007A3790"/>
    <w:rsid w:val="007A3A27"/>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357"/>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4A05"/>
    <w:rsid w:val="007D5C85"/>
    <w:rsid w:val="007D7FF2"/>
    <w:rsid w:val="007E00CD"/>
    <w:rsid w:val="007E01BE"/>
    <w:rsid w:val="007E0A96"/>
    <w:rsid w:val="007E1BED"/>
    <w:rsid w:val="007E3254"/>
    <w:rsid w:val="007E40B1"/>
    <w:rsid w:val="007E49C4"/>
    <w:rsid w:val="007E5098"/>
    <w:rsid w:val="007E61FF"/>
    <w:rsid w:val="007E6287"/>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474D"/>
    <w:rsid w:val="007F51F6"/>
    <w:rsid w:val="007F591E"/>
    <w:rsid w:val="007F5A47"/>
    <w:rsid w:val="007F6644"/>
    <w:rsid w:val="007F6885"/>
    <w:rsid w:val="007F6D62"/>
    <w:rsid w:val="008004B0"/>
    <w:rsid w:val="008010AD"/>
    <w:rsid w:val="008017F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585D"/>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2847"/>
    <w:rsid w:val="0083340B"/>
    <w:rsid w:val="00833B24"/>
    <w:rsid w:val="008345A0"/>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0A0E"/>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41"/>
    <w:rsid w:val="008C5ED2"/>
    <w:rsid w:val="008C712E"/>
    <w:rsid w:val="008C786C"/>
    <w:rsid w:val="008C7E63"/>
    <w:rsid w:val="008D01E5"/>
    <w:rsid w:val="008D02D4"/>
    <w:rsid w:val="008D0A12"/>
    <w:rsid w:val="008D16F7"/>
    <w:rsid w:val="008D1FA7"/>
    <w:rsid w:val="008D2424"/>
    <w:rsid w:val="008D2BF4"/>
    <w:rsid w:val="008D2DBA"/>
    <w:rsid w:val="008D43BD"/>
    <w:rsid w:val="008D4A09"/>
    <w:rsid w:val="008D4AAD"/>
    <w:rsid w:val="008D660A"/>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790"/>
    <w:rsid w:val="008F5C01"/>
    <w:rsid w:val="008F721F"/>
    <w:rsid w:val="00900761"/>
    <w:rsid w:val="00900FAD"/>
    <w:rsid w:val="0090111D"/>
    <w:rsid w:val="0090136C"/>
    <w:rsid w:val="00901BD8"/>
    <w:rsid w:val="009020AB"/>
    <w:rsid w:val="00902847"/>
    <w:rsid w:val="009040F7"/>
    <w:rsid w:val="009042D8"/>
    <w:rsid w:val="0090438D"/>
    <w:rsid w:val="009045AE"/>
    <w:rsid w:val="009057C3"/>
    <w:rsid w:val="00906349"/>
    <w:rsid w:val="009068CC"/>
    <w:rsid w:val="009069CB"/>
    <w:rsid w:val="00906F67"/>
    <w:rsid w:val="009074A5"/>
    <w:rsid w:val="0090780F"/>
    <w:rsid w:val="00907F4C"/>
    <w:rsid w:val="00911572"/>
    <w:rsid w:val="009118DA"/>
    <w:rsid w:val="00911BA2"/>
    <w:rsid w:val="00911EC7"/>
    <w:rsid w:val="0091221A"/>
    <w:rsid w:val="009123F8"/>
    <w:rsid w:val="00912CF0"/>
    <w:rsid w:val="00913D00"/>
    <w:rsid w:val="00914113"/>
    <w:rsid w:val="009154D2"/>
    <w:rsid w:val="00915570"/>
    <w:rsid w:val="0091590A"/>
    <w:rsid w:val="00915BB6"/>
    <w:rsid w:val="009161C9"/>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4C4A"/>
    <w:rsid w:val="0093518F"/>
    <w:rsid w:val="00935247"/>
    <w:rsid w:val="009352D3"/>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3BD6"/>
    <w:rsid w:val="009647C2"/>
    <w:rsid w:val="009654ED"/>
    <w:rsid w:val="00965B9A"/>
    <w:rsid w:val="00965E00"/>
    <w:rsid w:val="009671CD"/>
    <w:rsid w:val="0096724C"/>
    <w:rsid w:val="009674BB"/>
    <w:rsid w:val="00967AC6"/>
    <w:rsid w:val="009704C1"/>
    <w:rsid w:val="009711B5"/>
    <w:rsid w:val="009717BE"/>
    <w:rsid w:val="00971D03"/>
    <w:rsid w:val="00971DC8"/>
    <w:rsid w:val="00971EC3"/>
    <w:rsid w:val="009723E4"/>
    <w:rsid w:val="00972F62"/>
    <w:rsid w:val="00974B48"/>
    <w:rsid w:val="00974FFC"/>
    <w:rsid w:val="009751F1"/>
    <w:rsid w:val="009755DC"/>
    <w:rsid w:val="00975DA0"/>
    <w:rsid w:val="00976066"/>
    <w:rsid w:val="00976627"/>
    <w:rsid w:val="00976AF4"/>
    <w:rsid w:val="00976E47"/>
    <w:rsid w:val="00977172"/>
    <w:rsid w:val="00977CF2"/>
    <w:rsid w:val="00980B9B"/>
    <w:rsid w:val="0098109A"/>
    <w:rsid w:val="009810A1"/>
    <w:rsid w:val="00982624"/>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5DE7"/>
    <w:rsid w:val="00997451"/>
    <w:rsid w:val="00997E91"/>
    <w:rsid w:val="00997FCE"/>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3523"/>
    <w:rsid w:val="00A04729"/>
    <w:rsid w:val="00A047CB"/>
    <w:rsid w:val="00A05448"/>
    <w:rsid w:val="00A060F2"/>
    <w:rsid w:val="00A0737E"/>
    <w:rsid w:val="00A0749A"/>
    <w:rsid w:val="00A10514"/>
    <w:rsid w:val="00A10A8C"/>
    <w:rsid w:val="00A10E84"/>
    <w:rsid w:val="00A11D17"/>
    <w:rsid w:val="00A122A2"/>
    <w:rsid w:val="00A12CAB"/>
    <w:rsid w:val="00A13BAC"/>
    <w:rsid w:val="00A14BEF"/>
    <w:rsid w:val="00A14D12"/>
    <w:rsid w:val="00A14EA3"/>
    <w:rsid w:val="00A15BED"/>
    <w:rsid w:val="00A1727A"/>
    <w:rsid w:val="00A17540"/>
    <w:rsid w:val="00A17622"/>
    <w:rsid w:val="00A176CC"/>
    <w:rsid w:val="00A17E34"/>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0A5D"/>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5CC"/>
    <w:rsid w:val="00AB2C1C"/>
    <w:rsid w:val="00AB388B"/>
    <w:rsid w:val="00AB487A"/>
    <w:rsid w:val="00AB4A95"/>
    <w:rsid w:val="00AB5768"/>
    <w:rsid w:val="00AB578E"/>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5589"/>
    <w:rsid w:val="00B276BB"/>
    <w:rsid w:val="00B27A12"/>
    <w:rsid w:val="00B27DDA"/>
    <w:rsid w:val="00B27F0C"/>
    <w:rsid w:val="00B30222"/>
    <w:rsid w:val="00B30E2A"/>
    <w:rsid w:val="00B31141"/>
    <w:rsid w:val="00B31F8A"/>
    <w:rsid w:val="00B32BE2"/>
    <w:rsid w:val="00B333E7"/>
    <w:rsid w:val="00B334B6"/>
    <w:rsid w:val="00B34014"/>
    <w:rsid w:val="00B357D4"/>
    <w:rsid w:val="00B363DA"/>
    <w:rsid w:val="00B36D64"/>
    <w:rsid w:val="00B37254"/>
    <w:rsid w:val="00B3776E"/>
    <w:rsid w:val="00B37DA8"/>
    <w:rsid w:val="00B40A18"/>
    <w:rsid w:val="00B41B00"/>
    <w:rsid w:val="00B420DC"/>
    <w:rsid w:val="00B42F3A"/>
    <w:rsid w:val="00B44A40"/>
    <w:rsid w:val="00B44D85"/>
    <w:rsid w:val="00B4525F"/>
    <w:rsid w:val="00B4540A"/>
    <w:rsid w:val="00B45F56"/>
    <w:rsid w:val="00B473F8"/>
    <w:rsid w:val="00B478C3"/>
    <w:rsid w:val="00B5023E"/>
    <w:rsid w:val="00B50454"/>
    <w:rsid w:val="00B508CD"/>
    <w:rsid w:val="00B5107D"/>
    <w:rsid w:val="00B51701"/>
    <w:rsid w:val="00B51A15"/>
    <w:rsid w:val="00B51F22"/>
    <w:rsid w:val="00B52517"/>
    <w:rsid w:val="00B5271C"/>
    <w:rsid w:val="00B528BA"/>
    <w:rsid w:val="00B52B33"/>
    <w:rsid w:val="00B535E1"/>
    <w:rsid w:val="00B539EE"/>
    <w:rsid w:val="00B542AF"/>
    <w:rsid w:val="00B546EF"/>
    <w:rsid w:val="00B54901"/>
    <w:rsid w:val="00B550AC"/>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2"/>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62A"/>
    <w:rsid w:val="00B95F69"/>
    <w:rsid w:val="00B960DB"/>
    <w:rsid w:val="00B97CEA"/>
    <w:rsid w:val="00B97FCB"/>
    <w:rsid w:val="00BA0BAD"/>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23D7"/>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BE7"/>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9E8"/>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1391"/>
    <w:rsid w:val="00C21B7E"/>
    <w:rsid w:val="00C2211B"/>
    <w:rsid w:val="00C231C8"/>
    <w:rsid w:val="00C2436A"/>
    <w:rsid w:val="00C259E7"/>
    <w:rsid w:val="00C26376"/>
    <w:rsid w:val="00C269BA"/>
    <w:rsid w:val="00C271A1"/>
    <w:rsid w:val="00C27CCD"/>
    <w:rsid w:val="00C313BE"/>
    <w:rsid w:val="00C31CA4"/>
    <w:rsid w:val="00C338C0"/>
    <w:rsid w:val="00C33C1A"/>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09CC"/>
    <w:rsid w:val="00C71F2D"/>
    <w:rsid w:val="00C72480"/>
    <w:rsid w:val="00C72591"/>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5D7E"/>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472F"/>
    <w:rsid w:val="00CC6A9B"/>
    <w:rsid w:val="00CC7CAC"/>
    <w:rsid w:val="00CC7DBF"/>
    <w:rsid w:val="00CD026D"/>
    <w:rsid w:val="00CD0290"/>
    <w:rsid w:val="00CD03C8"/>
    <w:rsid w:val="00CD065D"/>
    <w:rsid w:val="00CD08DA"/>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1BC7"/>
    <w:rsid w:val="00CF2765"/>
    <w:rsid w:val="00CF302F"/>
    <w:rsid w:val="00CF3232"/>
    <w:rsid w:val="00CF374F"/>
    <w:rsid w:val="00CF5F70"/>
    <w:rsid w:val="00CF6F2E"/>
    <w:rsid w:val="00CF79D4"/>
    <w:rsid w:val="00D0046D"/>
    <w:rsid w:val="00D00523"/>
    <w:rsid w:val="00D007FD"/>
    <w:rsid w:val="00D00DD5"/>
    <w:rsid w:val="00D0190B"/>
    <w:rsid w:val="00D01CD5"/>
    <w:rsid w:val="00D03012"/>
    <w:rsid w:val="00D0313B"/>
    <w:rsid w:val="00D0446A"/>
    <w:rsid w:val="00D04A58"/>
    <w:rsid w:val="00D06853"/>
    <w:rsid w:val="00D06857"/>
    <w:rsid w:val="00D116A3"/>
    <w:rsid w:val="00D126F4"/>
    <w:rsid w:val="00D127A5"/>
    <w:rsid w:val="00D12929"/>
    <w:rsid w:val="00D1322C"/>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5B5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652C"/>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4ED0"/>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285"/>
    <w:rsid w:val="00E16333"/>
    <w:rsid w:val="00E16D54"/>
    <w:rsid w:val="00E1769D"/>
    <w:rsid w:val="00E17AA7"/>
    <w:rsid w:val="00E17D7D"/>
    <w:rsid w:val="00E17DE7"/>
    <w:rsid w:val="00E202AD"/>
    <w:rsid w:val="00E20A48"/>
    <w:rsid w:val="00E21CA3"/>
    <w:rsid w:val="00E23C0A"/>
    <w:rsid w:val="00E23D77"/>
    <w:rsid w:val="00E2468D"/>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191"/>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774CB"/>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857"/>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5D80"/>
    <w:rsid w:val="00EB605E"/>
    <w:rsid w:val="00EB61BF"/>
    <w:rsid w:val="00EB74A5"/>
    <w:rsid w:val="00EB76CD"/>
    <w:rsid w:val="00EC0B1F"/>
    <w:rsid w:val="00EC1214"/>
    <w:rsid w:val="00EC12D5"/>
    <w:rsid w:val="00EC2003"/>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4FF9"/>
    <w:rsid w:val="00F25125"/>
    <w:rsid w:val="00F26292"/>
    <w:rsid w:val="00F266C6"/>
    <w:rsid w:val="00F26C41"/>
    <w:rsid w:val="00F26E63"/>
    <w:rsid w:val="00F2735E"/>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A1D"/>
    <w:rsid w:val="00F47F7C"/>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447"/>
    <w:rsid w:val="00F61E35"/>
    <w:rsid w:val="00F6227B"/>
    <w:rsid w:val="00F62569"/>
    <w:rsid w:val="00F626A2"/>
    <w:rsid w:val="00F62B88"/>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A722B"/>
    <w:rsid w:val="00FB0BCE"/>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4FC8"/>
    <w:rsid w:val="00FE57F2"/>
    <w:rsid w:val="00FE6361"/>
    <w:rsid w:val="00FE66E6"/>
    <w:rsid w:val="00FE6A7E"/>
    <w:rsid w:val="00FE7441"/>
    <w:rsid w:val="00FE77DB"/>
    <w:rsid w:val="00FF0017"/>
    <w:rsid w:val="00FF0883"/>
    <w:rsid w:val="00FF0D88"/>
    <w:rsid w:val="00FF0E28"/>
    <w:rsid w:val="00FF10B5"/>
    <w:rsid w:val="00FF1540"/>
    <w:rsid w:val="00FF212A"/>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B2789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qFormat="1" w:unhideWhenUsed="0" w:uiPriority="99" w:semiHidden="0"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nhideWhenUsed="0" w:uiPriority="99" w:semiHidden="0" w:name="Body Text First Indent 2"/>
    <w:lsdException w:uiPriority="99" w:name="Note Heading"/>
    <w:lsdException w:qFormat="1" w:unhideWhenUsed="0" w:uiPriority="99" w:semiHidden="0" w:name="Body Text 2"/>
    <w:lsdException w:uiPriority="99" w:name="Body Text 3"/>
    <w:lsdException w:unhideWhenUsed="0" w:uiPriority="99"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4"/>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79"/>
    <w:qFormat/>
    <w:uiPriority w:val="9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83"/>
    <w:qFormat/>
    <w:uiPriority w:val="99"/>
    <w:pPr>
      <w:keepNext/>
      <w:keepLines/>
      <w:spacing w:before="260" w:after="260" w:line="416" w:lineRule="auto"/>
      <w:outlineLvl w:val="2"/>
    </w:pPr>
    <w:rPr>
      <w:b/>
      <w:bCs/>
      <w:sz w:val="32"/>
      <w:szCs w:val="32"/>
    </w:rPr>
  </w:style>
  <w:style w:type="character" w:default="1" w:styleId="22">
    <w:name w:val="Default Paragraph Font"/>
    <w:semiHidden/>
    <w:qFormat/>
    <w:uiPriority w:val="99"/>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99"/>
    <w:pPr>
      <w:ind w:firstLine="420" w:firstLineChars="200"/>
    </w:pPr>
    <w:rPr>
      <w:szCs w:val="22"/>
    </w:rPr>
  </w:style>
  <w:style w:type="paragraph" w:styleId="6">
    <w:name w:val="toa heading"/>
    <w:basedOn w:val="1"/>
    <w:next w:val="1"/>
    <w:qFormat/>
    <w:uiPriority w:val="99"/>
    <w:pPr>
      <w:spacing w:before="120"/>
    </w:pPr>
    <w:rPr>
      <w:rFonts w:ascii="Arial" w:hAnsi="Arial" w:eastAsia="仿宋_GB2312" w:cs="Arial"/>
      <w:sz w:val="24"/>
    </w:rPr>
  </w:style>
  <w:style w:type="paragraph" w:styleId="7">
    <w:name w:val="Body Text"/>
    <w:basedOn w:val="1"/>
    <w:link w:val="48"/>
    <w:uiPriority w:val="99"/>
    <w:pPr>
      <w:spacing w:line="100" w:lineRule="atLeast"/>
      <w:jc w:val="center"/>
    </w:pPr>
    <w:rPr>
      <w:rFonts w:eastAsia="华文中宋"/>
      <w:sz w:val="44"/>
    </w:rPr>
  </w:style>
  <w:style w:type="paragraph" w:styleId="8">
    <w:name w:val="Body Text Indent"/>
    <w:basedOn w:val="1"/>
    <w:link w:val="88"/>
    <w:qFormat/>
    <w:uiPriority w:val="99"/>
    <w:pPr>
      <w:ind w:firstLine="640" w:firstLineChars="200"/>
    </w:pPr>
    <w:rPr>
      <w:rFonts w:eastAsia="仿宋_GB2312"/>
      <w:color w:val="000000"/>
      <w:sz w:val="32"/>
      <w:szCs w:val="32"/>
      <w:lang w:val="zh-CN"/>
    </w:rPr>
  </w:style>
  <w:style w:type="paragraph" w:styleId="9">
    <w:name w:val="Plain Text"/>
    <w:basedOn w:val="1"/>
    <w:link w:val="53"/>
    <w:qFormat/>
    <w:uiPriority w:val="99"/>
    <w:rPr>
      <w:rFonts w:ascii="宋体" w:hAnsi="Courier New" w:cs="Courier New"/>
      <w:szCs w:val="21"/>
    </w:rPr>
  </w:style>
  <w:style w:type="paragraph" w:styleId="10">
    <w:name w:val="Date"/>
    <w:basedOn w:val="1"/>
    <w:next w:val="1"/>
    <w:link w:val="49"/>
    <w:uiPriority w:val="99"/>
    <w:pPr>
      <w:ind w:left="100" w:leftChars="2500"/>
    </w:pPr>
    <w:rPr>
      <w:rFonts w:ascii="仿宋_GB2312" w:eastAsia="仿宋_GB2312"/>
      <w:sz w:val="32"/>
    </w:rPr>
  </w:style>
  <w:style w:type="paragraph" w:styleId="11">
    <w:name w:val="Body Text Indent 2"/>
    <w:basedOn w:val="1"/>
    <w:link w:val="86"/>
    <w:uiPriority w:val="99"/>
    <w:pPr>
      <w:spacing w:after="120" w:line="480" w:lineRule="auto"/>
      <w:ind w:left="420" w:leftChars="200"/>
    </w:pPr>
  </w:style>
  <w:style w:type="paragraph" w:styleId="12">
    <w:name w:val="Balloon Text"/>
    <w:basedOn w:val="1"/>
    <w:link w:val="77"/>
    <w:qFormat/>
    <w:uiPriority w:val="99"/>
    <w:rPr>
      <w:sz w:val="18"/>
      <w:szCs w:val="18"/>
    </w:rPr>
  </w:style>
  <w:style w:type="paragraph" w:styleId="13">
    <w:name w:val="footer"/>
    <w:basedOn w:val="1"/>
    <w:link w:val="78"/>
    <w:uiPriority w:val="99"/>
    <w:pPr>
      <w:tabs>
        <w:tab w:val="center" w:pos="4153"/>
        <w:tab w:val="right" w:pos="8306"/>
      </w:tabs>
      <w:snapToGrid w:val="0"/>
      <w:jc w:val="left"/>
    </w:pPr>
    <w:rPr>
      <w:sz w:val="18"/>
      <w:szCs w:val="18"/>
    </w:rPr>
  </w:style>
  <w:style w:type="paragraph" w:styleId="14">
    <w:name w:val="header"/>
    <w:basedOn w:val="1"/>
    <w:link w:val="50"/>
    <w:qFormat/>
    <w:uiPriority w:val="99"/>
    <w:pPr>
      <w:pBdr>
        <w:bottom w:val="single" w:color="auto" w:sz="6" w:space="1"/>
      </w:pBdr>
      <w:tabs>
        <w:tab w:val="center" w:pos="4153"/>
        <w:tab w:val="right" w:pos="8306"/>
      </w:tabs>
      <w:snapToGrid w:val="0"/>
      <w:jc w:val="center"/>
    </w:pPr>
    <w:rPr>
      <w:sz w:val="18"/>
      <w:szCs w:val="18"/>
    </w:rPr>
  </w:style>
  <w:style w:type="paragraph" w:styleId="15">
    <w:name w:val="List"/>
    <w:basedOn w:val="1"/>
    <w:qFormat/>
    <w:uiPriority w:val="99"/>
    <w:pPr>
      <w:ind w:left="200" w:hanging="200" w:hangingChars="200"/>
    </w:pPr>
  </w:style>
  <w:style w:type="paragraph" w:styleId="16">
    <w:name w:val="Body Text 2"/>
    <w:basedOn w:val="1"/>
    <w:link w:val="44"/>
    <w:qFormat/>
    <w:uiPriority w:val="99"/>
    <w:pPr>
      <w:spacing w:after="120" w:line="480" w:lineRule="auto"/>
    </w:pPr>
  </w:style>
  <w:style w:type="paragraph" w:styleId="17">
    <w:name w:val="Normal (Web)"/>
    <w:basedOn w:val="1"/>
    <w:qFormat/>
    <w:uiPriority w:val="99"/>
    <w:pPr>
      <w:widowControl/>
      <w:spacing w:before="100" w:beforeAutospacing="1" w:after="100" w:afterAutospacing="1"/>
      <w:jc w:val="left"/>
    </w:pPr>
    <w:rPr>
      <w:rFonts w:ascii="宋体" w:hAnsi="宋体"/>
      <w:kern w:val="0"/>
      <w:sz w:val="24"/>
    </w:rPr>
  </w:style>
  <w:style w:type="paragraph" w:styleId="18">
    <w:name w:val="Title"/>
    <w:basedOn w:val="1"/>
    <w:next w:val="1"/>
    <w:link w:val="73"/>
    <w:qFormat/>
    <w:uiPriority w:val="99"/>
    <w:pPr>
      <w:spacing w:before="240" w:after="60"/>
      <w:jc w:val="center"/>
      <w:outlineLvl w:val="0"/>
    </w:pPr>
    <w:rPr>
      <w:rFonts w:ascii="Cambria" w:hAnsi="Cambria"/>
      <w:b/>
      <w:bCs/>
      <w:kern w:val="0"/>
      <w:sz w:val="32"/>
      <w:szCs w:val="32"/>
      <w:lang w:val="en-US" w:eastAsia="zh-CN"/>
    </w:rPr>
  </w:style>
  <w:style w:type="paragraph" w:styleId="19">
    <w:name w:val="Body Text First Indent 2"/>
    <w:basedOn w:val="8"/>
    <w:link w:val="89"/>
    <w:uiPriority w:val="99"/>
    <w:pPr>
      <w:spacing w:after="120"/>
      <w:ind w:left="420" w:leftChars="200" w:firstLine="420"/>
    </w:pPr>
    <w:rPr>
      <w:rFonts w:ascii="等线" w:hAnsi="等线" w:eastAsia="等线"/>
      <w:color w:val="auto"/>
      <w:sz w:val="21"/>
      <w:szCs w:val="22"/>
      <w:lang w:val="en-US"/>
    </w:rPr>
  </w:style>
  <w:style w:type="table" w:styleId="21">
    <w:name w:val="Table Grid"/>
    <w:basedOn w:val="20"/>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Strong"/>
    <w:basedOn w:val="22"/>
    <w:qFormat/>
    <w:uiPriority w:val="99"/>
    <w:rPr>
      <w:rFonts w:eastAsia="仿宋_GB2312"/>
      <w:sz w:val="32"/>
    </w:rPr>
  </w:style>
  <w:style w:type="character" w:styleId="24">
    <w:name w:val="page number"/>
    <w:basedOn w:val="22"/>
    <w:qFormat/>
    <w:uiPriority w:val="99"/>
    <w:rPr>
      <w:rFonts w:cs="Times New Roman"/>
    </w:rPr>
  </w:style>
  <w:style w:type="character" w:styleId="25">
    <w:name w:val="Hyperlink"/>
    <w:basedOn w:val="22"/>
    <w:qFormat/>
    <w:uiPriority w:val="99"/>
    <w:rPr>
      <w:color w:val="0000FF"/>
      <w:u w:val="single"/>
    </w:rPr>
  </w:style>
  <w:style w:type="character" w:customStyle="1" w:styleId="26">
    <w:name w:val="Heading 1 Char"/>
    <w:basedOn w:val="22"/>
    <w:link w:val="2"/>
    <w:uiPriority w:val="9"/>
    <w:rPr>
      <w:b/>
      <w:bCs/>
      <w:kern w:val="44"/>
      <w:sz w:val="44"/>
      <w:szCs w:val="44"/>
    </w:rPr>
  </w:style>
  <w:style w:type="character" w:customStyle="1" w:styleId="27">
    <w:name w:val="Heading 2 Char"/>
    <w:basedOn w:val="22"/>
    <w:link w:val="3"/>
    <w:semiHidden/>
    <w:qFormat/>
    <w:uiPriority w:val="9"/>
    <w:rPr>
      <w:rFonts w:asciiTheme="majorHAnsi" w:hAnsiTheme="majorHAnsi" w:eastAsiaTheme="majorEastAsia" w:cstheme="majorBidi"/>
      <w:b/>
      <w:bCs/>
      <w:sz w:val="32"/>
      <w:szCs w:val="32"/>
    </w:rPr>
  </w:style>
  <w:style w:type="character" w:customStyle="1" w:styleId="28">
    <w:name w:val="Heading 3 Char"/>
    <w:basedOn w:val="22"/>
    <w:link w:val="4"/>
    <w:semiHidden/>
    <w:qFormat/>
    <w:uiPriority w:val="9"/>
    <w:rPr>
      <w:b/>
      <w:bCs/>
      <w:sz w:val="32"/>
      <w:szCs w:val="32"/>
    </w:rPr>
  </w:style>
  <w:style w:type="character" w:customStyle="1" w:styleId="29">
    <w:name w:val="样式1 Char Char"/>
    <w:link w:val="30"/>
    <w:locked/>
    <w:uiPriority w:val="99"/>
    <w:rPr>
      <w:rFonts w:ascii="黑体" w:hAnsi="Courier New" w:eastAsia="黑体"/>
      <w:snapToGrid w:val="0"/>
      <w:kern w:val="2"/>
      <w:sz w:val="32"/>
      <w:lang w:val="en-US" w:eastAsia="zh-CN"/>
    </w:rPr>
  </w:style>
  <w:style w:type="paragraph" w:customStyle="1" w:styleId="30">
    <w:name w:val="样式1"/>
    <w:basedOn w:val="9"/>
    <w:link w:val="29"/>
    <w:qFormat/>
    <w:uiPriority w:val="99"/>
    <w:pPr>
      <w:adjustRightInd w:val="0"/>
      <w:snapToGrid w:val="0"/>
      <w:spacing w:line="610" w:lineRule="exact"/>
      <w:ind w:firstLine="640" w:firstLineChars="200"/>
    </w:pPr>
    <w:rPr>
      <w:rFonts w:ascii="黑体" w:eastAsia="黑体"/>
      <w:sz w:val="32"/>
      <w:szCs w:val="32"/>
    </w:rPr>
  </w:style>
  <w:style w:type="character" w:customStyle="1" w:styleId="31">
    <w:name w:val="ca-41"/>
    <w:qFormat/>
    <w:uiPriority w:val="99"/>
    <w:rPr>
      <w:rFonts w:ascii="??_GB2312" w:eastAsia="Times New Roman"/>
      <w:color w:val="000000"/>
      <w:sz w:val="32"/>
    </w:rPr>
  </w:style>
  <w:style w:type="character" w:customStyle="1" w:styleId="32">
    <w:name w:val="ca-01"/>
    <w:uiPriority w:val="99"/>
    <w:rPr>
      <w:rFonts w:ascii="Times New Roman"/>
      <w:b/>
      <w:color w:val="000000"/>
      <w:spacing w:val="-20"/>
      <w:sz w:val="44"/>
    </w:rPr>
  </w:style>
  <w:style w:type="character" w:customStyle="1" w:styleId="33">
    <w:name w:val="Char Char1"/>
    <w:qFormat/>
    <w:locked/>
    <w:uiPriority w:val="99"/>
    <w:rPr>
      <w:rFonts w:ascii="宋体" w:hAnsi="Courier New" w:eastAsia="宋体"/>
      <w:kern w:val="2"/>
      <w:sz w:val="21"/>
      <w:lang w:val="en-US" w:eastAsia="zh-CN"/>
    </w:rPr>
  </w:style>
  <w:style w:type="character" w:customStyle="1" w:styleId="34">
    <w:name w:val="Char Char2"/>
    <w:uiPriority w:val="99"/>
    <w:rPr>
      <w:rFonts w:ascii="黑体" w:eastAsia="黑体"/>
      <w:sz w:val="24"/>
      <w:lang w:val="en-US" w:eastAsia="zh-CN"/>
    </w:rPr>
  </w:style>
  <w:style w:type="character" w:customStyle="1" w:styleId="35">
    <w:name w:val="样式1 Char"/>
    <w:qFormat/>
    <w:uiPriority w:val="99"/>
    <w:rPr>
      <w:rFonts w:ascii="黑体" w:hAnsi="Courier New" w:eastAsia="黑体"/>
      <w:snapToGrid w:val="0"/>
      <w:kern w:val="2"/>
      <w:sz w:val="32"/>
      <w:lang w:val="en-US" w:eastAsia="zh-CN"/>
    </w:rPr>
  </w:style>
  <w:style w:type="character" w:customStyle="1" w:styleId="36">
    <w:name w:val="纯文本 Char"/>
    <w:qFormat/>
    <w:uiPriority w:val="99"/>
    <w:rPr>
      <w:rFonts w:ascii="宋体" w:hAnsi="Courier New" w:eastAsia="宋体"/>
      <w:kern w:val="2"/>
      <w:sz w:val="21"/>
      <w:lang w:val="en-US" w:eastAsia="zh-CN"/>
    </w:rPr>
  </w:style>
  <w:style w:type="character" w:customStyle="1" w:styleId="37">
    <w:name w:val="样式2 Char"/>
    <w:link w:val="38"/>
    <w:locked/>
    <w:uiPriority w:val="99"/>
    <w:rPr>
      <w:rFonts w:ascii="楷体_GB2312" w:hAnsi="Courier New" w:eastAsia="楷体_GB2312"/>
      <w:snapToGrid w:val="0"/>
      <w:kern w:val="2"/>
      <w:sz w:val="32"/>
      <w:lang w:val="en-US" w:eastAsia="zh-CN"/>
    </w:rPr>
  </w:style>
  <w:style w:type="paragraph" w:customStyle="1" w:styleId="38">
    <w:name w:val="样式2"/>
    <w:basedOn w:val="9"/>
    <w:link w:val="37"/>
    <w:qFormat/>
    <w:uiPriority w:val="99"/>
    <w:pPr>
      <w:adjustRightInd w:val="0"/>
      <w:snapToGrid w:val="0"/>
      <w:spacing w:line="610" w:lineRule="exact"/>
      <w:ind w:firstLine="640" w:firstLineChars="200"/>
    </w:pPr>
    <w:rPr>
      <w:rFonts w:ascii="楷体_GB2312" w:hAnsi="Times New Roman" w:eastAsia="楷体_GB2312" w:cs="Times New Roman"/>
      <w:kern w:val="0"/>
      <w:sz w:val="32"/>
      <w:szCs w:val="32"/>
    </w:rPr>
  </w:style>
  <w:style w:type="character" w:customStyle="1" w:styleId="39">
    <w:name w:val="Plain Text Char1"/>
    <w:link w:val="9"/>
    <w:locked/>
    <w:uiPriority w:val="99"/>
    <w:rPr>
      <w:rFonts w:ascii="宋体" w:hAnsi="Courier New" w:eastAsia="宋体"/>
      <w:kern w:val="2"/>
      <w:sz w:val="21"/>
      <w:lang w:val="en-US" w:eastAsia="zh-CN"/>
    </w:rPr>
  </w:style>
  <w:style w:type="character" w:customStyle="1" w:styleId="40">
    <w:name w:val="Char Char"/>
    <w:uiPriority w:val="99"/>
    <w:rPr>
      <w:rFonts w:ascii="宋体" w:hAnsi="Courier New" w:eastAsia="宋体"/>
      <w:kern w:val="2"/>
      <w:sz w:val="21"/>
      <w:lang w:val="en-US" w:eastAsia="zh-CN"/>
    </w:rPr>
  </w:style>
  <w:style w:type="character" w:customStyle="1" w:styleId="41">
    <w:name w:val="Body Text Char1"/>
    <w:link w:val="7"/>
    <w:locked/>
    <w:uiPriority w:val="99"/>
    <w:rPr>
      <w:rFonts w:eastAsia="华文中宋"/>
      <w:kern w:val="2"/>
      <w:sz w:val="24"/>
      <w:lang w:val="en-US" w:eastAsia="zh-CN"/>
    </w:rPr>
  </w:style>
  <w:style w:type="character" w:customStyle="1" w:styleId="42">
    <w:name w:val="ca-11"/>
    <w:qFormat/>
    <w:uiPriority w:val="99"/>
    <w:rPr>
      <w:rFonts w:ascii="??" w:eastAsia="Times New Roman"/>
      <w:b/>
      <w:color w:val="000000"/>
      <w:spacing w:val="-20"/>
      <w:sz w:val="44"/>
    </w:rPr>
  </w:style>
  <w:style w:type="paragraph" w:customStyle="1" w:styleId="43">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44">
    <w:name w:val="Body Text 2 Char"/>
    <w:basedOn w:val="22"/>
    <w:link w:val="16"/>
    <w:semiHidden/>
    <w:qFormat/>
    <w:uiPriority w:val="99"/>
    <w:rPr>
      <w:szCs w:val="24"/>
    </w:rPr>
  </w:style>
  <w:style w:type="paragraph" w:customStyle="1" w:styleId="45">
    <w:name w:val="p0"/>
    <w:basedOn w:val="1"/>
    <w:uiPriority w:val="99"/>
    <w:pPr>
      <w:widowControl/>
      <w:spacing w:line="365" w:lineRule="atLeast"/>
      <w:ind w:left="1"/>
      <w:textAlignment w:val="bottom"/>
    </w:pPr>
    <w:rPr>
      <w:kern w:val="0"/>
      <w:sz w:val="20"/>
      <w:szCs w:val="20"/>
    </w:rPr>
  </w:style>
  <w:style w:type="paragraph" w:customStyle="1" w:styleId="46">
    <w:name w:val="Char"/>
    <w:basedOn w:val="1"/>
    <w:semiHidden/>
    <w:uiPriority w:val="99"/>
  </w:style>
  <w:style w:type="paragraph" w:customStyle="1" w:styleId="47">
    <w:name w:val="p16"/>
    <w:basedOn w:val="1"/>
    <w:uiPriority w:val="99"/>
    <w:pPr>
      <w:widowControl/>
    </w:pPr>
    <w:rPr>
      <w:kern w:val="0"/>
      <w:szCs w:val="21"/>
    </w:rPr>
  </w:style>
  <w:style w:type="character" w:customStyle="1" w:styleId="48">
    <w:name w:val="Body Text Char"/>
    <w:basedOn w:val="22"/>
    <w:link w:val="7"/>
    <w:semiHidden/>
    <w:uiPriority w:val="99"/>
    <w:rPr>
      <w:szCs w:val="24"/>
    </w:rPr>
  </w:style>
  <w:style w:type="character" w:customStyle="1" w:styleId="49">
    <w:name w:val="Date Char"/>
    <w:basedOn w:val="22"/>
    <w:link w:val="10"/>
    <w:semiHidden/>
    <w:uiPriority w:val="99"/>
    <w:rPr>
      <w:szCs w:val="24"/>
    </w:rPr>
  </w:style>
  <w:style w:type="character" w:customStyle="1" w:styleId="50">
    <w:name w:val="Header Char"/>
    <w:basedOn w:val="22"/>
    <w:link w:val="14"/>
    <w:semiHidden/>
    <w:uiPriority w:val="99"/>
    <w:rPr>
      <w:sz w:val="18"/>
      <w:szCs w:val="18"/>
    </w:rPr>
  </w:style>
  <w:style w:type="character" w:customStyle="1" w:styleId="51">
    <w:name w:val="Body Text Indent Char"/>
    <w:basedOn w:val="22"/>
    <w:link w:val="8"/>
    <w:semiHidden/>
    <w:uiPriority w:val="99"/>
    <w:rPr>
      <w:szCs w:val="24"/>
    </w:rPr>
  </w:style>
  <w:style w:type="character" w:customStyle="1" w:styleId="52">
    <w:name w:val="Footer Char"/>
    <w:basedOn w:val="22"/>
    <w:link w:val="13"/>
    <w:semiHidden/>
    <w:uiPriority w:val="99"/>
    <w:rPr>
      <w:sz w:val="18"/>
      <w:szCs w:val="18"/>
    </w:rPr>
  </w:style>
  <w:style w:type="character" w:customStyle="1" w:styleId="53">
    <w:name w:val="Plain Text Char"/>
    <w:basedOn w:val="22"/>
    <w:link w:val="9"/>
    <w:semiHidden/>
    <w:uiPriority w:val="99"/>
    <w:rPr>
      <w:rFonts w:ascii="宋体" w:hAnsi="Courier New" w:cs="Courier New"/>
      <w:szCs w:val="21"/>
    </w:rPr>
  </w:style>
  <w:style w:type="paragraph" w:customStyle="1" w:styleId="54">
    <w:name w:val="Char Char Char Char Char Char Char Char Char Char"/>
    <w:basedOn w:val="1"/>
    <w:semiHidden/>
    <w:uiPriority w:val="99"/>
  </w:style>
  <w:style w:type="paragraph" w:customStyle="1" w:styleId="55">
    <w:name w:val="content-parag"/>
    <w:basedOn w:val="1"/>
    <w:uiPriority w:val="99"/>
    <w:pPr>
      <w:widowControl/>
      <w:spacing w:before="100" w:beforeAutospacing="1" w:after="100" w:afterAutospacing="1"/>
      <w:jc w:val="left"/>
    </w:pPr>
    <w:rPr>
      <w:rFonts w:ascii="宋体" w:hAnsi="宋体"/>
      <w:kern w:val="0"/>
      <w:sz w:val="24"/>
    </w:rPr>
  </w:style>
  <w:style w:type="paragraph" w:customStyle="1" w:styleId="56">
    <w:name w:val="纯文本 New"/>
    <w:basedOn w:val="1"/>
    <w:qFormat/>
    <w:uiPriority w:val="99"/>
    <w:rPr>
      <w:rFonts w:ascii="宋体" w:hAnsi="Courier New"/>
      <w:szCs w:val="20"/>
    </w:rPr>
  </w:style>
  <w:style w:type="paragraph" w:customStyle="1" w:styleId="57">
    <w:name w:val="样式5"/>
    <w:basedOn w:val="30"/>
    <w:qFormat/>
    <w:uiPriority w:val="99"/>
    <w:pPr>
      <w:ind w:firstLine="0" w:firstLineChars="0"/>
      <w:jc w:val="center"/>
    </w:pPr>
  </w:style>
  <w:style w:type="paragraph" w:customStyle="1" w:styleId="58">
    <w:name w:val="列出段落"/>
    <w:basedOn w:val="1"/>
    <w:qFormat/>
    <w:uiPriority w:val="99"/>
    <w:pPr>
      <w:ind w:firstLine="420" w:firstLineChars="200"/>
    </w:pPr>
  </w:style>
  <w:style w:type="paragraph" w:customStyle="1" w:styleId="59">
    <w:name w:val="正文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0">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61">
    <w:name w:val="Char Char Char Char Char Char Char"/>
    <w:basedOn w:val="1"/>
    <w:semiHidden/>
    <w:qFormat/>
    <w:uiPriority w:val="99"/>
  </w:style>
  <w:style w:type="paragraph" w:customStyle="1" w:styleId="62">
    <w:name w:val="Char1"/>
    <w:basedOn w:val="1"/>
    <w:semiHidden/>
    <w:qFormat/>
    <w:uiPriority w:val="99"/>
  </w:style>
  <w:style w:type="paragraph" w:customStyle="1" w:styleId="63">
    <w:name w:val="Char Char Char Char"/>
    <w:basedOn w:val="1"/>
    <w:semiHidden/>
    <w:qFormat/>
    <w:uiPriority w:val="99"/>
  </w:style>
  <w:style w:type="paragraph" w:customStyle="1" w:styleId="64">
    <w:name w:val="reader-word-layer reader-word-s1-2"/>
    <w:basedOn w:val="1"/>
    <w:qFormat/>
    <w:uiPriority w:val="99"/>
    <w:pPr>
      <w:widowControl/>
      <w:spacing w:before="100" w:beforeAutospacing="1" w:after="100" w:afterAutospacing="1"/>
      <w:jc w:val="left"/>
    </w:pPr>
    <w:rPr>
      <w:rFonts w:ascii="宋体" w:hAnsi="宋体"/>
      <w:kern w:val="0"/>
      <w:sz w:val="24"/>
    </w:rPr>
  </w:style>
  <w:style w:type="paragraph" w:customStyle="1" w:styleId="65">
    <w:name w:val="正文 New New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6">
    <w:name w:val="Char Char Char"/>
    <w:basedOn w:val="1"/>
    <w:qFormat/>
    <w:uiPriority w:val="99"/>
    <w:rPr>
      <w:rFonts w:eastAsia="仿宋_GB2312"/>
      <w:sz w:val="32"/>
      <w:szCs w:val="20"/>
    </w:rPr>
  </w:style>
  <w:style w:type="paragraph" w:customStyle="1" w:styleId="67">
    <w:name w:val="样式4"/>
    <w:basedOn w:val="9"/>
    <w:uiPriority w:val="99"/>
    <w:pPr>
      <w:adjustRightInd w:val="0"/>
      <w:snapToGrid w:val="0"/>
      <w:spacing w:line="610" w:lineRule="exact"/>
      <w:jc w:val="center"/>
    </w:pPr>
    <w:rPr>
      <w:rFonts w:ascii="方正小标宋简体" w:hAnsi="Times New Roman" w:eastAsia="方正小标宋简体" w:cs="Times New Roman"/>
      <w:kern w:val="0"/>
      <w:sz w:val="44"/>
      <w:szCs w:val="44"/>
    </w:rPr>
  </w:style>
  <w:style w:type="paragraph" w:customStyle="1" w:styleId="68">
    <w:name w:val="正文 New New New New New New New New New New New New New New New New New New New New New New New New New New New New New New New New New New New"/>
    <w:qFormat/>
    <w:uiPriority w:val="99"/>
    <w:pPr>
      <w:widowControl w:val="0"/>
      <w:jc w:val="both"/>
    </w:pPr>
    <w:rPr>
      <w:rFonts w:ascii="Calibri" w:hAnsi="Calibri" w:eastAsia="方正仿宋_GBK" w:cs="Times New Roman"/>
      <w:kern w:val="2"/>
      <w:sz w:val="32"/>
      <w:szCs w:val="24"/>
      <w:lang w:val="en-US" w:eastAsia="zh-CN" w:bidi="ar-SA"/>
    </w:rPr>
  </w:style>
  <w:style w:type="paragraph" w:customStyle="1" w:styleId="69">
    <w:name w:val="正文 New New"/>
    <w:qFormat/>
    <w:uiPriority w:val="99"/>
    <w:pPr>
      <w:widowControl w:val="0"/>
      <w:jc w:val="both"/>
    </w:pPr>
    <w:rPr>
      <w:rFonts w:ascii="Calibri" w:hAnsi="Calibri" w:eastAsia="宋体" w:cs="Times New Roman"/>
      <w:kern w:val="2"/>
      <w:sz w:val="21"/>
      <w:szCs w:val="22"/>
      <w:lang w:val="en-US" w:eastAsia="zh-CN" w:bidi="ar-SA"/>
    </w:rPr>
  </w:style>
  <w:style w:type="paragraph" w:customStyle="1" w:styleId="70">
    <w:name w:val="样式3"/>
    <w:basedOn w:val="1"/>
    <w:qFormat/>
    <w:uiPriority w:val="99"/>
    <w:pPr>
      <w:topLinePunct/>
      <w:adjustRightInd w:val="0"/>
      <w:snapToGrid w:val="0"/>
      <w:spacing w:line="592" w:lineRule="exact"/>
      <w:jc w:val="center"/>
    </w:pPr>
    <w:rPr>
      <w:rFonts w:ascii="宋体" w:hAnsi="宋体"/>
      <w:sz w:val="44"/>
      <w:szCs w:val="44"/>
    </w:rPr>
  </w:style>
  <w:style w:type="paragraph" w:customStyle="1" w:styleId="71">
    <w:name w:val="样式7"/>
    <w:basedOn w:val="1"/>
    <w:qFormat/>
    <w:uiPriority w:val="99"/>
    <w:pPr>
      <w:topLinePunct/>
      <w:adjustRightInd w:val="0"/>
      <w:snapToGrid w:val="0"/>
      <w:spacing w:line="592" w:lineRule="exact"/>
      <w:ind w:left="420" w:leftChars="200" w:right="420" w:rightChars="200"/>
    </w:pPr>
    <w:rPr>
      <w:rFonts w:eastAsia="楷体_GB2312"/>
      <w:color w:val="222222"/>
      <w:kern w:val="0"/>
      <w:sz w:val="32"/>
      <w:szCs w:val="32"/>
    </w:rPr>
  </w:style>
  <w:style w:type="character" w:customStyle="1" w:styleId="72">
    <w:name w:val="Title Char1"/>
    <w:link w:val="18"/>
    <w:qFormat/>
    <w:locked/>
    <w:uiPriority w:val="99"/>
    <w:rPr>
      <w:rFonts w:ascii="Cambria" w:hAnsi="Cambria" w:eastAsia="宋体"/>
      <w:b/>
      <w:sz w:val="32"/>
    </w:rPr>
  </w:style>
  <w:style w:type="character" w:customStyle="1" w:styleId="73">
    <w:name w:val="Title Char"/>
    <w:basedOn w:val="22"/>
    <w:link w:val="18"/>
    <w:qFormat/>
    <w:uiPriority w:val="10"/>
    <w:rPr>
      <w:rFonts w:asciiTheme="majorHAnsi" w:hAnsiTheme="majorHAnsi" w:cstheme="majorBidi"/>
      <w:b/>
      <w:bCs/>
      <w:sz w:val="32"/>
      <w:szCs w:val="32"/>
    </w:rPr>
  </w:style>
  <w:style w:type="character" w:customStyle="1" w:styleId="74">
    <w:name w:val="apple-converted-space"/>
    <w:basedOn w:val="22"/>
    <w:qFormat/>
    <w:uiPriority w:val="99"/>
    <w:rPr>
      <w:rFonts w:cs="Times New Roman"/>
    </w:rPr>
  </w:style>
  <w:style w:type="paragraph" w:customStyle="1" w:styleId="75">
    <w:name w:val="No Spacing1"/>
    <w:qFormat/>
    <w:uiPriority w:val="99"/>
    <w:pPr>
      <w:widowControl w:val="0"/>
      <w:jc w:val="both"/>
    </w:pPr>
    <w:rPr>
      <w:rFonts w:ascii="Times New Roman" w:hAnsi="Times New Roman" w:eastAsia="宋体" w:cs="Times New Roman"/>
      <w:kern w:val="2"/>
      <w:sz w:val="30"/>
      <w:szCs w:val="30"/>
      <w:lang w:val="en-US" w:eastAsia="zh-CN" w:bidi="ar-SA"/>
    </w:rPr>
  </w:style>
  <w:style w:type="character" w:customStyle="1" w:styleId="76">
    <w:name w:val="Balloon Text Char"/>
    <w:basedOn w:val="22"/>
    <w:link w:val="12"/>
    <w:semiHidden/>
    <w:qFormat/>
    <w:uiPriority w:val="99"/>
    <w:rPr>
      <w:sz w:val="0"/>
      <w:szCs w:val="0"/>
    </w:rPr>
  </w:style>
  <w:style w:type="character" w:customStyle="1" w:styleId="77">
    <w:name w:val="Balloon Text Char1"/>
    <w:link w:val="12"/>
    <w:qFormat/>
    <w:locked/>
    <w:uiPriority w:val="99"/>
    <w:rPr>
      <w:kern w:val="2"/>
      <w:sz w:val="18"/>
    </w:rPr>
  </w:style>
  <w:style w:type="character" w:customStyle="1" w:styleId="78">
    <w:name w:val="Footer Char1"/>
    <w:link w:val="13"/>
    <w:qFormat/>
    <w:locked/>
    <w:uiPriority w:val="99"/>
    <w:rPr>
      <w:kern w:val="2"/>
      <w:sz w:val="18"/>
    </w:rPr>
  </w:style>
  <w:style w:type="character" w:customStyle="1" w:styleId="79">
    <w:name w:val="Heading 2 Char1"/>
    <w:link w:val="3"/>
    <w:locked/>
    <w:uiPriority w:val="99"/>
    <w:rPr>
      <w:rFonts w:ascii="等线 Light" w:hAnsi="等线 Light" w:eastAsia="等线 Light"/>
      <w:b/>
      <w:kern w:val="2"/>
      <w:sz w:val="32"/>
    </w:rPr>
  </w:style>
  <w:style w:type="paragraph" w:customStyle="1" w:styleId="80">
    <w:name w:val="_Style 8"/>
    <w:basedOn w:val="1"/>
    <w:semiHidden/>
    <w:uiPriority w:val="99"/>
  </w:style>
  <w:style w:type="paragraph" w:customStyle="1" w:styleId="81">
    <w:name w:val="Default"/>
    <w:uiPriority w:val="99"/>
    <w:pPr>
      <w:widowControl w:val="0"/>
      <w:autoSpaceDE w:val="0"/>
      <w:autoSpaceDN w:val="0"/>
      <w:adjustRightInd w:val="0"/>
    </w:pPr>
    <w:rPr>
      <w:rFonts w:ascii="FZ Extra BSK" w:hAnsi="Times New Roman" w:eastAsia="FZ Extra BSK" w:cs="FZ Extra BSK"/>
      <w:color w:val="000000"/>
      <w:kern w:val="0"/>
      <w:sz w:val="24"/>
      <w:szCs w:val="24"/>
      <w:lang w:val="en-US" w:eastAsia="zh-CN" w:bidi="ar-SA"/>
    </w:rPr>
  </w:style>
  <w:style w:type="paragraph" w:customStyle="1" w:styleId="82">
    <w:name w:val="CM35"/>
    <w:basedOn w:val="81"/>
    <w:next w:val="81"/>
    <w:uiPriority w:val="99"/>
    <w:pPr>
      <w:spacing w:after="618"/>
    </w:pPr>
  </w:style>
  <w:style w:type="character" w:customStyle="1" w:styleId="83">
    <w:name w:val="Heading 3 Char1"/>
    <w:link w:val="4"/>
    <w:semiHidden/>
    <w:locked/>
    <w:uiPriority w:val="99"/>
    <w:rPr>
      <w:b/>
      <w:kern w:val="2"/>
      <w:sz w:val="32"/>
    </w:rPr>
  </w:style>
  <w:style w:type="character" w:customStyle="1" w:styleId="84">
    <w:name w:val="Heading 1 Char1"/>
    <w:link w:val="2"/>
    <w:locked/>
    <w:uiPriority w:val="99"/>
    <w:rPr>
      <w:b/>
      <w:kern w:val="44"/>
      <w:sz w:val="44"/>
    </w:rPr>
  </w:style>
  <w:style w:type="character" w:customStyle="1" w:styleId="85">
    <w:name w:val="Body Text Indent 2 Char"/>
    <w:basedOn w:val="22"/>
    <w:link w:val="11"/>
    <w:semiHidden/>
    <w:uiPriority w:val="99"/>
    <w:rPr>
      <w:szCs w:val="24"/>
    </w:rPr>
  </w:style>
  <w:style w:type="character" w:customStyle="1" w:styleId="86">
    <w:name w:val="Body Text Indent 2 Char1"/>
    <w:link w:val="11"/>
    <w:locked/>
    <w:uiPriority w:val="99"/>
    <w:rPr>
      <w:kern w:val="2"/>
      <w:sz w:val="24"/>
    </w:rPr>
  </w:style>
  <w:style w:type="character" w:customStyle="1" w:styleId="87">
    <w:name w:val="Body Text First Indent 2 Char"/>
    <w:basedOn w:val="51"/>
    <w:link w:val="19"/>
    <w:semiHidden/>
    <w:uiPriority w:val="99"/>
  </w:style>
  <w:style w:type="character" w:customStyle="1" w:styleId="88">
    <w:name w:val="Body Text Indent Char1"/>
    <w:link w:val="8"/>
    <w:locked/>
    <w:uiPriority w:val="99"/>
    <w:rPr>
      <w:rFonts w:eastAsia="仿宋_GB2312"/>
      <w:color w:val="000000"/>
      <w:kern w:val="2"/>
      <w:sz w:val="32"/>
      <w:lang w:val="zh-CN"/>
    </w:rPr>
  </w:style>
  <w:style w:type="character" w:customStyle="1" w:styleId="89">
    <w:name w:val="Body Text First Indent 2 Char1"/>
    <w:link w:val="19"/>
    <w:locked/>
    <w:uiPriority w:val="99"/>
    <w:rPr>
      <w:rFonts w:ascii="等线" w:hAnsi="等线" w:eastAsia="等线"/>
      <w:color w:val="000000"/>
      <w:kern w:val="2"/>
      <w:sz w:val="22"/>
      <w:lang w:val="zh-CN"/>
    </w:rPr>
  </w:style>
  <w:style w:type="paragraph" w:customStyle="1" w:styleId="90">
    <w:name w:val="Normal Indent1"/>
    <w:basedOn w:val="1"/>
    <w:uiPriority w:val="99"/>
    <w:pPr>
      <w:ind w:firstLine="420" w:firstLineChars="200"/>
    </w:pPr>
    <w:rPr>
      <w:rFonts w:ascii="Calibri" w:hAnsi="Calibri" w:eastAsia="方正仿宋_GBK"/>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16</Pages>
  <Words>1107</Words>
  <Characters>6310</Characters>
  <Lines>0</Lines>
  <Paragraphs>0</Paragraphs>
  <TotalTime>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2022-01-27T07:32:00Z</dcterms:created>
  <dc:creator>微软用户</dc:creator>
  <cp:lastModifiedBy>梨花</cp:lastModifiedBy>
  <cp:lastPrinted>2022-01-25T06:02:00Z</cp:lastPrinted>
  <dcterms:modified xsi:type="dcterms:W3CDTF">2022-03-17T08:15:40Z</dcterms:modified>
  <dc:title>中共云南省人民代表大会常务委员会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018136258F014DE2AC40B8C1F0E4217C</vt:lpwstr>
  </property>
</Properties>
</file>