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32"/>
        </w:rPr>
      </w:pPr>
    </w:p>
    <w:p>
      <w:pPr>
        <w:spacing w:after="0" w:line="240" w:lineRule="auto"/>
      </w:pPr>
      <w:r>
        <w:rPr>
          <w:rFonts w:ascii="宋体" w:hAnsi="宋体" w:eastAsia="宋体"/>
          <w:sz w:val="32"/>
        </w:rPr>
        <w:t>​</w:t>
      </w:r>
    </w:p>
    <w:p>
      <w:pPr>
        <w:jc w:val="center"/>
        <w:rPr>
          <w:rFonts w:ascii="宋体" w:hAnsi="宋体" w:eastAsia="宋体"/>
          <w:sz w:val="44"/>
        </w:rPr>
      </w:pPr>
      <w:r>
        <w:rPr>
          <w:rFonts w:ascii="宋体" w:hAnsi="宋体" w:eastAsia="宋体"/>
          <w:sz w:val="44"/>
        </w:rPr>
        <w:t>内蒙古自治区人民代表大会常务委员会</w:t>
      </w:r>
    </w:p>
    <w:p>
      <w:pPr>
        <w:jc w:val="center"/>
        <w:rPr>
          <w:rFonts w:ascii="宋体" w:hAnsi="宋体" w:eastAsia="宋体"/>
          <w:sz w:val="44"/>
        </w:rPr>
      </w:pPr>
      <w:r>
        <w:rPr>
          <w:rFonts w:ascii="宋体" w:hAnsi="宋体" w:eastAsia="宋体"/>
          <w:sz w:val="44"/>
        </w:rPr>
        <w:t>关于修改《内蒙古自治区人民代表大会代表</w:t>
      </w:r>
    </w:p>
    <w:p>
      <w:pPr>
        <w:jc w:val="center"/>
      </w:pPr>
      <w:r>
        <w:rPr>
          <w:rFonts w:ascii="宋体" w:hAnsi="宋体" w:eastAsia="宋体"/>
          <w:sz w:val="44"/>
        </w:rPr>
        <w:t>建议、批评和意见办理办法》的决定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632" w:leftChars="200" w:right="632" w:rightChars="200"/>
        <w:textAlignment w:val="auto"/>
      </w:pPr>
      <w:r>
        <w:rPr>
          <w:rFonts w:ascii="Times New Roman" w:hAnsi="Times New Roman" w:eastAsia="楷体_GB2312"/>
          <w:sz w:val="32"/>
        </w:rPr>
        <w:t>（2023年9月27日内蒙古自治区第十四届人民代表大会常务委员会第六次会议通过）</w:t>
      </w:r>
    </w:p>
    <w:p>
      <w:pPr>
        <w:spacing w:after="0" w:line="240" w:lineRule="auto"/>
      </w:pPr>
      <w:r>
        <w:rPr>
          <w:rFonts w:ascii="宋体" w:hAnsi="宋体" w:eastAsia="宋体"/>
          <w:sz w:val="32"/>
        </w:rPr>
        <w:t>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eastAsia="仿宋_GB2312"/>
          <w:sz w:val="32"/>
        </w:rPr>
        <w:t>内蒙古自治区第十四届人民代表大会常务委员会第六次会议决定对《内蒙古自治区人民代表大会代表建议、批评和意见办理办法》作如下修改：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hint="eastAsia" w:ascii="黑体" w:hAnsi="黑体" w:eastAsia="黑体" w:cs="黑体"/>
          <w:sz w:val="32"/>
        </w:rPr>
        <w:t>一、</w:t>
      </w:r>
      <w:r>
        <w:rPr>
          <w:rFonts w:eastAsia="仿宋_GB2312"/>
          <w:sz w:val="32"/>
        </w:rPr>
        <w:t>将法规的名称修改为：“内蒙古自治区人民代表大会代表建议、批评和意见处理办法”。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hint="eastAsia" w:ascii="黑体" w:hAnsi="黑体" w:eastAsia="黑体" w:cs="黑体"/>
          <w:sz w:val="32"/>
        </w:rPr>
        <w:t>二、</w:t>
      </w:r>
      <w:r>
        <w:rPr>
          <w:rFonts w:eastAsia="仿宋_GB2312"/>
          <w:sz w:val="32"/>
        </w:rPr>
        <w:t>增加一条作为第二条：“代表建议、批评和意见工作坚持以习近平新时代中国特色社会主义思想为指导，深入落实习近平法治思想、习近平总书记关于坚持和完善人民代表大会制度的重要思想，坚持党的领导、人民当家作主、依法治国有机统一，坚持发展全过程人民民主，坚持铸牢中华民族共同体意识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hint="eastAsia" w:ascii="黑体" w:hAnsi="黑体" w:eastAsia="黑体" w:cs="黑体"/>
          <w:sz w:val="32"/>
        </w:rPr>
        <w:t>三、</w:t>
      </w:r>
      <w:r>
        <w:rPr>
          <w:rFonts w:eastAsia="仿宋_GB2312"/>
          <w:sz w:val="32"/>
        </w:rPr>
        <w:t>将第七条改为第八条，修改为：下列情形不应当作为代表建议、批评和意见提出：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eastAsia="仿宋_GB2312"/>
          <w:sz w:val="32"/>
        </w:rPr>
        <w:t>“（一）对列入自治区人民代表大会会议议程的各项议案、报告的修改意见；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eastAsia="仿宋_GB2312"/>
          <w:sz w:val="32"/>
        </w:rPr>
        <w:t>“（二）涉及解决代表本人及其亲属个人问题的；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eastAsia="仿宋_GB2312"/>
          <w:sz w:val="32"/>
        </w:rPr>
        <w:t>“（三）代表本人的或者代转人民群众的申诉、控告和检举类来信的；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eastAsia="仿宋_GB2312"/>
          <w:sz w:val="32"/>
        </w:rPr>
        <w:t>“（四）涉及国家监察机关、审判机关、检察机关依法处理的具体案件的；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eastAsia="仿宋_GB2312"/>
          <w:sz w:val="32"/>
        </w:rPr>
        <w:t>“（五）属于学术探讨、产品推介的；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eastAsia="仿宋_GB2312"/>
          <w:sz w:val="32"/>
        </w:rPr>
        <w:t>“（六）没有实际内容的；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eastAsia="仿宋_GB2312"/>
          <w:sz w:val="32"/>
        </w:rPr>
        <w:t>“（七）其他不应当作为代表建议、批评和意见的。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eastAsia="仿宋_GB2312"/>
          <w:sz w:val="32"/>
        </w:rPr>
        <w:t>“对属于上述情形的，向代表说明情况后，视情作为代表来信转送有关方面研究处理，或者由代表修改完善后再提出。”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hint="eastAsia" w:ascii="黑体" w:hAnsi="黑体" w:eastAsia="黑体" w:cs="黑体"/>
          <w:sz w:val="32"/>
        </w:rPr>
        <w:t>四、</w:t>
      </w:r>
      <w:r>
        <w:rPr>
          <w:rFonts w:eastAsia="仿宋_GB2312"/>
          <w:sz w:val="32"/>
        </w:rPr>
        <w:t>将第十条改为第十一条，第一款修改为：“代表建议、批评和意见需要两个以上单位共同研究办理的，由有关单位会同办理或者分别办理。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eastAsia="仿宋_GB2312"/>
          <w:sz w:val="32"/>
        </w:rPr>
        <w:t>“对会同办理的代表建议、批评和意见，交办时应当确定主办单位和协办单位，由主办单位会同协办单位共同研究办理。”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hint="eastAsia" w:ascii="黑体" w:hAnsi="黑体" w:eastAsia="黑体" w:cs="黑体"/>
          <w:sz w:val="32"/>
        </w:rPr>
        <w:t>五、</w:t>
      </w:r>
      <w:r>
        <w:rPr>
          <w:rFonts w:eastAsia="仿宋_GB2312"/>
          <w:sz w:val="32"/>
        </w:rPr>
        <w:t>将第十二条改为第十三条，修改为：“承办单位应当区别不同情况，将办理代表建议、批评和意见的结果答复代表：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eastAsia="仿宋_GB2312"/>
          <w:sz w:val="32"/>
        </w:rPr>
        <w:t>“（一）</w:t>
      </w:r>
      <w:r>
        <w:rPr>
          <w:rFonts w:hint="default" w:ascii="Times New Roman" w:hAnsi="Times New Roman" w:eastAsia="仿宋_GB2312" w:cs="Times New Roman"/>
          <w:sz w:val="32"/>
        </w:rPr>
        <w:t>A</w:t>
      </w:r>
      <w:r>
        <w:rPr>
          <w:rFonts w:eastAsia="仿宋_GB2312"/>
          <w:sz w:val="32"/>
        </w:rPr>
        <w:t>类：所提问题已经解决或所提意见和建议已经采纳、部分采纳的，应当将解决和采纳的情况答复代表；所提问题在本年度内能够解决的，应当明确答复代表并尽快解决；所提问题已有规定的，应当明确说明有关情况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eastAsia="仿宋_GB2312"/>
          <w:sz w:val="32"/>
        </w:rPr>
        <w:t>“（二）</w:t>
      </w:r>
      <w:r>
        <w:rPr>
          <w:rFonts w:hint="default" w:ascii="Times New Roman" w:hAnsi="Times New Roman" w:eastAsia="仿宋_GB2312" w:cs="Times New Roman"/>
          <w:sz w:val="32"/>
        </w:rPr>
        <w:t>B</w:t>
      </w:r>
      <w:r>
        <w:rPr>
          <w:rFonts w:eastAsia="仿宋_GB2312"/>
          <w:sz w:val="32"/>
        </w:rPr>
        <w:t>类：所提问题已经列入近期工作计划，自交办之日起三年内能够基本解决的，应当将解决问题的方案明确答复代表；所提问题已经列入工作规划的，应当将解决问题的路线图和时间表明确答复代表。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eastAsia="仿宋_GB2312"/>
          <w:sz w:val="32"/>
        </w:rPr>
        <w:t>“（三）</w:t>
      </w:r>
      <w:r>
        <w:rPr>
          <w:rFonts w:hint="default" w:ascii="Times New Roman" w:hAnsi="Times New Roman" w:eastAsia="仿宋_GB2312" w:cs="Times New Roman"/>
          <w:sz w:val="32"/>
        </w:rPr>
        <w:t>C</w:t>
      </w:r>
      <w:r>
        <w:rPr>
          <w:rFonts w:eastAsia="仿宋_GB2312"/>
          <w:sz w:val="32"/>
        </w:rPr>
        <w:t>类：所提问题暂时难以解决，但是对加强和改进工作具有参考价值，拟在工作中研究参考的，应当将有关情况和理由答复代表；所提问题因法律和政策的规定或者目前条件不具备确实无法解决的，应当明确答复代表，并向代表说明原因，做好解释工作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hint="eastAsia" w:ascii="黑体" w:hAnsi="黑体" w:eastAsia="黑体" w:cs="黑体"/>
          <w:sz w:val="32"/>
        </w:rPr>
        <w:t>六、</w:t>
      </w:r>
      <w:r>
        <w:rPr>
          <w:rFonts w:eastAsia="仿宋_GB2312"/>
          <w:sz w:val="32"/>
        </w:rPr>
        <w:t>将第十八条和第十九条合并，作为第十九条，修改为：“自治区人民代表大会各专门委员会按照党中央决策部署，落实自治区党委工作安排，围绕五大任务和全方位建设模范自治区两件大事，结合自治区人民代表大会常务委员会重点工作安排，以及代表反映比较集中、涉及人民群众切身利益的重大问题，在征求各方面意见的基础上，提出常务委员会拟重点督办的代表建议、批评和意见，经常务委员会主任会议研究确定后，交有关机关、组织重点研究办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eastAsia="仿宋_GB2312"/>
          <w:sz w:val="32"/>
        </w:rPr>
        <w:t>“自治区人民代表大会常务委员会重点督办建议、批评和意见，由常务委员会主任会议成员牵头督办，自治区人民代表大会相关专门委员会具体督办。常务委员会办事机构和工作机构做好督办的相关工作。”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hint="eastAsia" w:ascii="黑体" w:hAnsi="黑体" w:eastAsia="黑体" w:cs="黑体"/>
          <w:sz w:val="32"/>
        </w:rPr>
        <w:t>七、</w:t>
      </w:r>
      <w:r>
        <w:rPr>
          <w:rFonts w:eastAsia="仿宋_GB2312"/>
          <w:sz w:val="32"/>
        </w:rPr>
        <w:t>将第二十条修改为：“重点督办建议、批评和意见的承办单位主要负责人应当亲自负责研究办理，加强组织协调，提高办理实效。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eastAsia="仿宋_GB2312"/>
          <w:sz w:val="32"/>
        </w:rPr>
        <w:t>“重点督办建议、批评和意见由两个以上承办单位共同办理的，主办单位应当会同协办单位与提出建议、批评和意见的代表共同开展调查研究或者召开代表座谈会，听取代表对重点督办建议、批评和意见工作的意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eastAsia="仿宋_GB2312"/>
          <w:sz w:val="32"/>
        </w:rPr>
        <w:t>“主办单位组织办理调研活动或者召开座谈会时，可以邀请负责具体督办工作的自治区人民代表大会有关专门委员会，常务委员会办事机构和工作机构参加。”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hint="eastAsia" w:ascii="黑体" w:hAnsi="黑体" w:eastAsia="黑体" w:cs="黑体"/>
          <w:sz w:val="32"/>
        </w:rPr>
        <w:t>八、</w:t>
      </w:r>
      <w:r>
        <w:rPr>
          <w:rFonts w:eastAsia="仿宋_GB2312"/>
          <w:sz w:val="32"/>
        </w:rPr>
        <w:t>对部分条文中的有关表述作以下修改：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eastAsia="仿宋_GB2312"/>
          <w:sz w:val="32"/>
        </w:rPr>
        <w:t>（一）将第一条、第二十九条中的“办理”修改为“处理”；将第一条中的“办理效果”修改为“处理质量”。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eastAsia="仿宋_GB2312"/>
          <w:sz w:val="32"/>
        </w:rPr>
        <w:t>（二）将第五条中的“团长签名”修改为“负责人签署”。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eastAsia="仿宋_GB2312"/>
          <w:sz w:val="32"/>
        </w:rPr>
        <w:t>（三）将第十六条中的“主要负责人审核”修改为“承办单位负责人签发”，“蒙、汉”修改为“规范汉字、蒙古文”。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eastAsia="仿宋_GB2312"/>
          <w:sz w:val="32"/>
        </w:rPr>
        <w:t>（四）将第十七条第一款、第二十一条第一款、第二十三条第一款中的“建议”修改为“建议、批评和意见”。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eastAsia="仿宋_GB2312"/>
          <w:sz w:val="32"/>
        </w:rPr>
        <w:t>（五）将第二十八条中的“常务委员会工作机构”修改为“相关专门委员会、常务委员会办事机构和工作机构”。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eastAsia="仿宋_GB2312"/>
          <w:sz w:val="32"/>
        </w:rPr>
        <w:t>本决定自公布之日起施行。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eastAsia="仿宋_GB2312"/>
          <w:sz w:val="32"/>
        </w:rPr>
        <w:t>《内蒙古自治区人民代表大会代表建议、批评和意见办理办法》根据本决定作相应修改，</w:t>
      </w:r>
      <w:bookmarkStart w:id="0" w:name="_GoBack"/>
      <w:bookmarkEnd w:id="0"/>
      <w:r>
        <w:rPr>
          <w:rFonts w:eastAsia="仿宋_GB2312"/>
          <w:sz w:val="32"/>
        </w:rPr>
        <w:t>并对条文顺序作相应调整，重新公布。</w:t>
      </w:r>
    </w:p>
    <w:sectPr>
      <w:footerReference r:id="rId3" w:type="default"/>
      <w:footerReference r:id="rId4" w:type="even"/>
      <w:pgSz w:w="11906" w:h="16838"/>
      <w:pgMar w:top="2098" w:right="1474" w:bottom="1985" w:left="1588" w:header="851" w:footer="397" w:gutter="0"/>
      <w:cols w:space="708" w:num="1"/>
      <w:docGrid w:type="linesAndChars" w:linePitch="579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altName w:val="仿宋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ˎ̥">
    <w:altName w:val="宋体"/>
    <w:panose1 w:val="020B0604020202020204"/>
    <w:charset w:val="00"/>
    <w:family w:val="roman"/>
    <w:pitch w:val="default"/>
    <w:sig w:usb0="00000000" w:usb1="00000000" w:usb2="00000000" w:usb3="00000000" w:csb0="00040001" w:csb1="00000000"/>
  </w:font>
  <w:font w:name="楷体_GB2312">
    <w:altName w:val="楷体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wordWrap w:val="0"/>
      <w:jc w:val="right"/>
      <w:rPr>
        <w:rFonts w:eastAsia="宋体"/>
      </w:rPr>
    </w:pPr>
    <w:r>
      <w:rPr>
        <w:rFonts w:hint="eastAsia" w:ascii="宋体" w:hAnsi="宋体" w:eastAsia="宋体"/>
        <w:sz w:val="28"/>
        <w:szCs w:val="28"/>
      </w:rPr>
      <w:t>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1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　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ascii="宋体" w:hAnsi="宋体" w:eastAsia="宋体"/>
        <w:sz w:val="28"/>
        <w:szCs w:val="28"/>
      </w:rPr>
    </w:pPr>
    <w:r>
      <w:rPr>
        <w:rFonts w:hint="eastAsia" w:ascii="宋体" w:hAnsi="宋体" w:eastAsia="宋体"/>
        <w:sz w:val="28"/>
        <w:szCs w:val="28"/>
      </w:rPr>
      <w:t>　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2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bordersDoNotSurroundHeader w:val="1"/>
  <w:bordersDoNotSurroundFooter w:val="1"/>
  <w:doNotTrackMoves/>
  <w:documentProtection w:enforcement="0"/>
  <w:defaultTabStop w:val="420"/>
  <w:evenAndOddHeaders w:val="1"/>
  <w:drawingGridHorizontalSpacing w:val="158"/>
  <w:drawingGridVerticalSpacing w:val="579"/>
  <w:displayHorizontalDrawingGridEvery w:val="0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ODM0YzQzMGFjMjUzMGYwODMwZjhmZTEzMTA0N2U0NTcifQ=="/>
  </w:docVars>
  <w:rsids>
    <w:rsidRoot w:val="000E703F"/>
    <w:rsid w:val="00005CBA"/>
    <w:rsid w:val="00067A46"/>
    <w:rsid w:val="000B3473"/>
    <w:rsid w:val="000D062B"/>
    <w:rsid w:val="000E703F"/>
    <w:rsid w:val="000F0A3D"/>
    <w:rsid w:val="000F7DA8"/>
    <w:rsid w:val="00131BA9"/>
    <w:rsid w:val="0013352A"/>
    <w:rsid w:val="0016100C"/>
    <w:rsid w:val="00166DBD"/>
    <w:rsid w:val="00194C5F"/>
    <w:rsid w:val="001D56C5"/>
    <w:rsid w:val="001E2980"/>
    <w:rsid w:val="00226845"/>
    <w:rsid w:val="002434D9"/>
    <w:rsid w:val="002447F6"/>
    <w:rsid w:val="00247B39"/>
    <w:rsid w:val="00265F71"/>
    <w:rsid w:val="002E3D11"/>
    <w:rsid w:val="002F77E5"/>
    <w:rsid w:val="00303251"/>
    <w:rsid w:val="00307CD3"/>
    <w:rsid w:val="00315BE5"/>
    <w:rsid w:val="00353AD7"/>
    <w:rsid w:val="003A0332"/>
    <w:rsid w:val="003F636B"/>
    <w:rsid w:val="00420DB2"/>
    <w:rsid w:val="0044207F"/>
    <w:rsid w:val="0048283C"/>
    <w:rsid w:val="004D5710"/>
    <w:rsid w:val="004F542C"/>
    <w:rsid w:val="00550A4A"/>
    <w:rsid w:val="005667BC"/>
    <w:rsid w:val="005A4A7E"/>
    <w:rsid w:val="005C49EF"/>
    <w:rsid w:val="005F0A94"/>
    <w:rsid w:val="00610663"/>
    <w:rsid w:val="00616EB4"/>
    <w:rsid w:val="0066351E"/>
    <w:rsid w:val="006A6786"/>
    <w:rsid w:val="006B2EDC"/>
    <w:rsid w:val="006C7885"/>
    <w:rsid w:val="006D3381"/>
    <w:rsid w:val="006E600C"/>
    <w:rsid w:val="00785C4E"/>
    <w:rsid w:val="007A6644"/>
    <w:rsid w:val="0082159D"/>
    <w:rsid w:val="00834B22"/>
    <w:rsid w:val="008351B6"/>
    <w:rsid w:val="008503CF"/>
    <w:rsid w:val="00867A37"/>
    <w:rsid w:val="008A10A6"/>
    <w:rsid w:val="008D32FC"/>
    <w:rsid w:val="00937399"/>
    <w:rsid w:val="009D4E62"/>
    <w:rsid w:val="00A07177"/>
    <w:rsid w:val="00A87604"/>
    <w:rsid w:val="00AE3FEB"/>
    <w:rsid w:val="00B12059"/>
    <w:rsid w:val="00B32293"/>
    <w:rsid w:val="00B718F5"/>
    <w:rsid w:val="00B90B92"/>
    <w:rsid w:val="00BB0938"/>
    <w:rsid w:val="00BB259A"/>
    <w:rsid w:val="00BC1DEF"/>
    <w:rsid w:val="00BC4088"/>
    <w:rsid w:val="00BF513D"/>
    <w:rsid w:val="00C16EFC"/>
    <w:rsid w:val="00C97FAE"/>
    <w:rsid w:val="00CC1CE5"/>
    <w:rsid w:val="00CC393A"/>
    <w:rsid w:val="00D0095F"/>
    <w:rsid w:val="00D50578"/>
    <w:rsid w:val="00D625F1"/>
    <w:rsid w:val="00D64B65"/>
    <w:rsid w:val="00D677FE"/>
    <w:rsid w:val="00DB69C0"/>
    <w:rsid w:val="00DB7DE9"/>
    <w:rsid w:val="00DC4D4C"/>
    <w:rsid w:val="00DD7D16"/>
    <w:rsid w:val="00EA2922"/>
    <w:rsid w:val="00ED7C16"/>
    <w:rsid w:val="00EE2B0F"/>
    <w:rsid w:val="00EE52D1"/>
    <w:rsid w:val="00F352BC"/>
    <w:rsid w:val="00F3612D"/>
    <w:rsid w:val="00F4604E"/>
    <w:rsid w:val="00F53731"/>
    <w:rsid w:val="00F72984"/>
    <w:rsid w:val="00F7674E"/>
    <w:rsid w:val="00F97604"/>
    <w:rsid w:val="00FA7EE2"/>
    <w:rsid w:val="00FD0030"/>
    <w:rsid w:val="05EE09DC"/>
    <w:rsid w:val="0D9804AC"/>
    <w:rsid w:val="11E4354D"/>
    <w:rsid w:val="16DC7373"/>
    <w:rsid w:val="344634A2"/>
    <w:rsid w:val="36772B7B"/>
    <w:rsid w:val="3DE63740"/>
    <w:rsid w:val="45B4100D"/>
    <w:rsid w:val="481351D2"/>
    <w:rsid w:val="53543565"/>
    <w:rsid w:val="558A062C"/>
    <w:rsid w:val="622F12CF"/>
    <w:rsid w:val="643E160D"/>
    <w:rsid w:val="653E08AD"/>
    <w:rsid w:val="71B9247E"/>
    <w:rsid w:val="7F47D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宋体" w:hAnsi="宋体" w:eastAsia="仿宋_GB2312" w:cs="Times New Roman"/>
      <w:kern w:val="2"/>
      <w:sz w:val="32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FollowedHyperlink"/>
    <w:unhideWhenUsed/>
    <w:qFormat/>
    <w:uiPriority w:val="99"/>
    <w:rPr>
      <w:color w:val="954F72"/>
      <w:u w:val="single"/>
    </w:rPr>
  </w:style>
  <w:style w:type="character" w:styleId="7">
    <w:name w:val="Hyperlink"/>
    <w:qFormat/>
    <w:uiPriority w:val="99"/>
    <w:rPr>
      <w:rFonts w:hint="default" w:ascii="ˎ̥" w:hAnsi="ˎ̥"/>
      <w:color w:val="0404B3"/>
      <w:sz w:val="18"/>
      <w:szCs w:val="18"/>
      <w:u w:val="none"/>
    </w:rPr>
  </w:style>
  <w:style w:type="character" w:customStyle="1" w:styleId="8">
    <w:name w:val="页脚 字符"/>
    <w:link w:val="2"/>
    <w:qFormat/>
    <w:uiPriority w:val="99"/>
    <w:rPr>
      <w:sz w:val="18"/>
      <w:szCs w:val="18"/>
    </w:rPr>
  </w:style>
  <w:style w:type="character" w:customStyle="1" w:styleId="9">
    <w:name w:val="页眉 字符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2017-11-15T10:33:00Z</dcterms:created>
  <dc:creator>YF-INT6</dc:creator>
  <cp:lastModifiedBy>雷</cp:lastModifiedBy>
  <dcterms:modified xsi:type="dcterms:W3CDTF">2023-12-24T01:12:32Z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9F633554657A46FBBBAB96484093276D</vt:lpwstr>
  </property>
  <property fmtid="{D5CDD505-2E9C-101B-9397-08002B2CF9AE}" pid="3" name="KSOProductBuildVer">
    <vt:lpwstr>2052-12.1.0.15990</vt:lpwstr>
  </property>
</Properties>
</file>