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北京市各级人民代表大会常务委员会</w:t>
      </w:r>
    </w:p>
    <w:p>
      <w:pPr>
        <w:pStyle w:val="2"/>
        <w:rPr>
          <w:rFonts w:hint="eastAsia" w:ascii="宋体" w:hAnsi="宋体" w:eastAsia="宋体" w:cs="宋体"/>
          <w:lang w:val="en-US" w:eastAsia="zh-CN"/>
        </w:rPr>
      </w:pPr>
      <w:r>
        <w:rPr>
          <w:rFonts w:hint="eastAsia" w:ascii="宋体" w:hAnsi="宋体" w:eastAsia="宋体" w:cs="宋体"/>
          <w:lang w:val="en-US" w:eastAsia="zh-CN"/>
        </w:rPr>
        <w:t>检查法律法规实施情况办法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（2007年11月30日北京市第十二届人民代表大会常务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委员会第四十次会议通过）</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为了保证法律、法规在本行政区域内的实施，增强监督工作实效，根据《中华人民共和国各级人民代表大会常务委员会监督法》，结合本市实际，制定本办法。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市和区、县人民代表大会常务委员会（以下简称常务委员会）每年选择若干关系本行政区域改革发展稳定大局和群众切身利益、社会普遍关注的重大问题，有计划地对法律、法规的实施情况组织执法检查。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常务委员会执法检查的议题建议，由人民代表大会专门委员会（以下简称人大专门委员会）或者常务委员会工作机构，根据职责分工汇总整理，按照工作程序规定的时间提出：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（一）常务委员会在行使职权过程中发现的法律、法规实施中存在的突出问题，由有关人大专门委员会或者常务委员会工作机构整理提出。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（二）本级人民代表大会代表（以下简称人大代表）对人民政府、人民法院和人民检察院（以下简称“一府两院”）工作提出的建议、批评和意见集中反映的问题，由常务委员会代表联络工作部门整理提出。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（三）常务委员会组成人员提出的比较集中的问题，由常务委员会办公厅（室）整理提出，常务委员会有关工作机构配合。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（四）人大专门委员会或者常务委员会工作机构在调查研究中发现的突出问题，由开展该项调查研究工作的人大专门委员会或者常务委员会工作机构整理提出。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（五）人民来信来访集中反映的问题，由常务委员会信访工作部门整理提出。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（六）社会普遍关注的其他问题，由常务委员会办公厅（室）整理提出，常务委员会有关工作机构配合。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（七）“一府两院”可以向本级人民代表大会常务委员会书面提出执法检查项目的建议，由常务委员会办公厅（室）整理提出。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常务委员会办公厅（室）负责汇总各人大专门委员会、常务委员会工作机构以及其他有关方面提出的执法检查议题建议，与“一府两院”沟通协调，提出常务委员会年度执法检查计划建议。年度计</w:t>
      </w:r>
      <w:r>
        <w:rPr>
          <w:rFonts w:hint="eastAsia" w:ascii="仿宋_GB2312" w:hAnsi="仿宋_GB2312" w:cs="仿宋_GB2312"/>
          <w:lang w:val="en-US" w:eastAsia="zh-CN"/>
        </w:rPr>
        <w:t>划</w:t>
      </w:r>
      <w:r>
        <w:rPr>
          <w:rFonts w:hint="eastAsia" w:ascii="仿宋_GB2312" w:hAnsi="仿宋_GB2312" w:eastAsia="仿宋_GB2312" w:cs="仿宋_GB2312"/>
          <w:lang w:val="en-US" w:eastAsia="zh-CN"/>
        </w:rPr>
        <w:t>建议应当包括执</w:t>
      </w:r>
      <w:r>
        <w:rPr>
          <w:rFonts w:hint="eastAsia" w:ascii="仿宋_GB2312" w:hAnsi="仿宋_GB2312" w:cs="仿宋_GB2312"/>
          <w:lang w:val="en-US" w:eastAsia="zh-CN"/>
        </w:rPr>
        <w:t>法</w:t>
      </w:r>
      <w:r>
        <w:rPr>
          <w:rFonts w:hint="eastAsia" w:ascii="仿宋_GB2312" w:hAnsi="仿宋_GB2312" w:eastAsia="仿宋_GB2312" w:cs="仿宋_GB2312"/>
          <w:lang w:val="en-US" w:eastAsia="zh-CN"/>
        </w:rPr>
        <w:t>检查的项目、理由、重点、时间安排和具体组织实施的有关人大专门委员会或者常务委员会工作机构等。</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常务委员会年度执法检查计划，经常务委员会主任会议（以下简称主任会议）通过，由常务委员会有关工作机构印发常务委员会组成人员，通报本级人大代表，以书面形式通知本级“一府两院”，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主任会议根据实际需要或者“一府两院”的要求，可以适当调整年度执法检查计划，并由常务委员会办公厅（室）及时通知“一府两院”办事机构。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常务委员会执法检查工作由本级有关人大专门委员会或者常务委员会工作机构具体组织实施。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常务委员会根据年度执法检查计划，按照精干、效能、便于活动的原则，组织执法检查组。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执法检查组的组成人员，从本级人民代表大会常务委员会组成人员以及本级人大专门（工作）委员会组成人员中确定，并可以邀请本级人大代表参加。</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执法检查组应当制定执法检查的具体方案。方案应当包括检查的重点内容，检查的时间、方法和步骤，以及具体组织实施的有关人大专门委员会或者常务委员会工作机构等。方案经主任会议讨论通过后组织实施。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执法检查组可以分若干小组，围绕有关主题，分别开展执法检查工作。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执法检查组全体会议听取法律、法规实施主管机关关于法律、法规实施情况的汇报，全面了解执法情况。</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执法检查组应当加强信息收集和整理，采取多种方式，了解法律、法规实施的实际情况，研究法律、法规实施中存在的问题。必要时，可以委托有关机构进行调查并出具报告。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“一府两院”以及相关单位应当按照常务委员会的工作程序，协助、配合执法检查组的工作。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执法检查组不直接处理具体问题。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执法检查中发现的具体案件和收到的群众来信，执法检查组应当转交常务委员会信访工作部门，由其统一转交有关部门研究处理。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执法检查组应当在执法检查结束后及时提出执法检查报告，由主任会议决定提请常务委员会审议。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执法检查报告包括下列内容：</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（一）对所检查的法律、法规实施情况进行评价，提出执法中存在的问题和改进执法工作的建议；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（二）对有关法律、法规提出修改完善的建议。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执法检查报告由执法检查组组长或者由组长委托副组长向常务委员会会议报告。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法律、法规实施主管机关应当向常务委员会会议提交书面报告。常务委员会审议执法检查报告时，“一府两院”负责人或者有关部门负责人应当到会听取意见，回答询问。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代表大会常务委员会组织执法检查，根据需要，可以委托区、县人民代表大会常务委员会对有关法律、法规在本行政区域的实施情况进行检查。委托执法检查项目，应当事先与区、县人民代表大会常务委员会协商确定。受委托的区、县人民代表大会常务委员会应当提出执法检查情况报告，报送市人民代表大会常务委员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代表大会常务委员会受全国人民代表大会常务委员会委托进行的执法检查，有关市人大专门委员会或者常务委员会工作机构应当提出执法检查情况报告，由常务委员会办公厅报送全国人民代表大会常务委员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常务委员会组成人员对执法检查报告的审议意见，由有关人大专门委员会或者常务委员会工作机构在常务委员会会议结束后及时整理，经主任会议讨论通过，形成审议意见书。审议意见书的内容应当包括对“一府两院”贯彻实施法律、法规情况的总体评价，存在的主要问题，改进工作的建议和办理期限等。</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审议意见书连同执法检查报告，由常务委员会办公厅（室）负责送交本级“一府两院”研究处理。同时，由常务委员会有关工作机构通报本级人大代表，并通过常务委员会门户网站和其他新闻媒体向社会公布。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一府两院”应当于收到审议意见书后三个月内，将常务委员会审议意见的研究处理方案送交有关人大专门委员会或者常务委员会工作机构；一年内，将审议意见的研究处理情况送交有关人大专门委员会或者常务委员会工作机构征求意见，并向常务委员会提出书面报告。经主任会议决定，由常务委员会有关工作机构印发常务委员会组成人员和参加执法检查的人大代表，通报本级人大代表，并通过常务委员会门户网站和其他新闻媒体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任会议认为必要时，可以决定将“一府两院”落实常务委员会审议意见情况的报告提请常务委员会审议，或者由常务委员会组织跟踪检查；常务委员会也可以委托本级有关人大专门委员会或者常务委员会工作机构组织跟踪检查。跟踪检查结束后，常务委员会执法检查组、有关人大专门委员会或者常务委员会工作机构应当提出跟踪检查报告，由主任会议决定印发常务委员会组成人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常务委员会有关工作机构根据年度执法检查计划，制定具体的新闻报道计划，组织新闻媒体对执法检查工作进行宣传报道。</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市人民代表大会常务委员会可以委托区、县人民代表大会常务委员会对本行政区域内市级垂直领导的机构实施法律、法规的情况进行检查。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代表大会常务委员会审议执法检查报告后，将执法检查报告连同常务委员会组成人员的审议意见通报被检查的市级垂直领导的机构；同时报市人民代表大会常务委员会，由常务委员会办公厅转交市人民政府研究处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实施本办法的工作程序，由常务委员会办公厅（室）制定。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本办法自2008年1月1日起施行。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1E0795E"/>
    <w:rsid w:val="02173E79"/>
    <w:rsid w:val="0245455D"/>
    <w:rsid w:val="02607DA6"/>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4C0C99"/>
    <w:rsid w:val="1DB3620A"/>
    <w:rsid w:val="1E881AB2"/>
    <w:rsid w:val="1EE12F17"/>
    <w:rsid w:val="1EF801BF"/>
    <w:rsid w:val="1F2C5B76"/>
    <w:rsid w:val="1F5A0FB7"/>
    <w:rsid w:val="1F644E97"/>
    <w:rsid w:val="1F9E35C4"/>
    <w:rsid w:val="201B3680"/>
    <w:rsid w:val="2025219D"/>
    <w:rsid w:val="206702E4"/>
    <w:rsid w:val="20EE5357"/>
    <w:rsid w:val="20EF2975"/>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DA356E4"/>
    <w:rsid w:val="2E296BE9"/>
    <w:rsid w:val="2E32394A"/>
    <w:rsid w:val="2E9E1B0C"/>
    <w:rsid w:val="2EB126B1"/>
    <w:rsid w:val="2EBF45F0"/>
    <w:rsid w:val="2EEE748A"/>
    <w:rsid w:val="2F056389"/>
    <w:rsid w:val="2F340A9D"/>
    <w:rsid w:val="314732A6"/>
    <w:rsid w:val="314A643F"/>
    <w:rsid w:val="318B6214"/>
    <w:rsid w:val="323B4CED"/>
    <w:rsid w:val="334A4FF2"/>
    <w:rsid w:val="337B49A8"/>
    <w:rsid w:val="350E5C8D"/>
    <w:rsid w:val="35534596"/>
    <w:rsid w:val="360F6D38"/>
    <w:rsid w:val="367724DE"/>
    <w:rsid w:val="369A06A9"/>
    <w:rsid w:val="38320EF0"/>
    <w:rsid w:val="385A53BE"/>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3285FAC"/>
    <w:rsid w:val="43304069"/>
    <w:rsid w:val="440C7A4A"/>
    <w:rsid w:val="440D63D8"/>
    <w:rsid w:val="441740A5"/>
    <w:rsid w:val="44867985"/>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9241582"/>
    <w:rsid w:val="49C25B00"/>
    <w:rsid w:val="4ABE420B"/>
    <w:rsid w:val="4B463638"/>
    <w:rsid w:val="4BB31F7B"/>
    <w:rsid w:val="4C25579C"/>
    <w:rsid w:val="4C675B46"/>
    <w:rsid w:val="4C984698"/>
    <w:rsid w:val="4D3465CF"/>
    <w:rsid w:val="4D732664"/>
    <w:rsid w:val="4DF15F67"/>
    <w:rsid w:val="4F782B4A"/>
    <w:rsid w:val="4F920416"/>
    <w:rsid w:val="4FC815D5"/>
    <w:rsid w:val="503C2608"/>
    <w:rsid w:val="50916534"/>
    <w:rsid w:val="50EB3631"/>
    <w:rsid w:val="5158209E"/>
    <w:rsid w:val="518E15DD"/>
    <w:rsid w:val="51FF507F"/>
    <w:rsid w:val="52213443"/>
    <w:rsid w:val="52C9579E"/>
    <w:rsid w:val="53E8332E"/>
    <w:rsid w:val="549934CF"/>
    <w:rsid w:val="54E301B5"/>
    <w:rsid w:val="54EF5EE5"/>
    <w:rsid w:val="55437081"/>
    <w:rsid w:val="55437190"/>
    <w:rsid w:val="556F52C2"/>
    <w:rsid w:val="57536DAD"/>
    <w:rsid w:val="579B3A9D"/>
    <w:rsid w:val="57A53920"/>
    <w:rsid w:val="57E05A5D"/>
    <w:rsid w:val="580072CC"/>
    <w:rsid w:val="580A3E11"/>
    <w:rsid w:val="5814238F"/>
    <w:rsid w:val="58435C6A"/>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3B3488"/>
    <w:rsid w:val="6943734A"/>
    <w:rsid w:val="694D769F"/>
    <w:rsid w:val="69692909"/>
    <w:rsid w:val="697D5882"/>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0F5867"/>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