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topLinePunct/>
        <w:spacing w:line="580" w:lineRule="exact"/>
        <w:jc w:val="center"/>
        <w:rPr>
          <w:rFonts w:eastAsia="方正小标宋简体"/>
          <w:color w:val="000000"/>
          <w:sz w:val="44"/>
          <w:szCs w:val="44"/>
        </w:rPr>
      </w:pPr>
    </w:p>
    <w:p>
      <w:pPr>
        <w:overflowPunct w:val="0"/>
        <w:topLinePunct/>
        <w:spacing w:line="580" w:lineRule="exact"/>
        <w:jc w:val="center"/>
        <w:rPr>
          <w:rFonts w:eastAsia="方正小标宋简体"/>
          <w:color w:val="000000"/>
          <w:sz w:val="44"/>
          <w:szCs w:val="44"/>
        </w:rPr>
      </w:pPr>
      <w:r>
        <w:rPr>
          <w:rFonts w:eastAsia="方正小标宋简体"/>
          <w:color w:val="000000"/>
          <w:sz w:val="44"/>
          <w:szCs w:val="44"/>
        </w:rPr>
        <w:t>北京市种子条例</w:t>
      </w:r>
    </w:p>
    <w:p>
      <w:pPr>
        <w:overflowPunct w:val="0"/>
        <w:topLinePunct/>
        <w:spacing w:line="580" w:lineRule="exact"/>
        <w:jc w:val="center"/>
        <w:rPr>
          <w:rFonts w:eastAsia="楷体_GB2312"/>
          <w:color w:val="000000"/>
          <w:sz w:val="32"/>
          <w:szCs w:val="32"/>
        </w:rPr>
      </w:pPr>
      <w:r>
        <w:rPr>
          <w:rFonts w:eastAsia="楷体_GB2312"/>
          <w:color w:val="000000"/>
          <w:sz w:val="32"/>
          <w:szCs w:val="32"/>
        </w:rPr>
        <w:t>（2022年1月10日北京市第十五届人民代表大会</w:t>
      </w:r>
    </w:p>
    <w:p>
      <w:pPr>
        <w:overflowPunct w:val="0"/>
        <w:topLinePunct/>
        <w:spacing w:line="580" w:lineRule="exact"/>
        <w:jc w:val="center"/>
        <w:rPr>
          <w:rFonts w:eastAsia="楷体_GB2312"/>
          <w:color w:val="000000"/>
          <w:sz w:val="32"/>
          <w:szCs w:val="32"/>
        </w:rPr>
      </w:pPr>
      <w:r>
        <w:rPr>
          <w:rFonts w:eastAsia="楷体_GB2312"/>
          <w:color w:val="000000"/>
          <w:sz w:val="32"/>
          <w:szCs w:val="32"/>
        </w:rPr>
        <w:t>第五次会议通过）</w:t>
      </w:r>
    </w:p>
    <w:p>
      <w:pPr>
        <w:overflowPunct w:val="0"/>
        <w:spacing w:line="580" w:lineRule="exact"/>
        <w:rPr>
          <w:color w:val="000000"/>
          <w:sz w:val="32"/>
          <w:szCs w:val="32"/>
        </w:rPr>
      </w:pPr>
    </w:p>
    <w:p>
      <w:pPr>
        <w:overflowPunct w:val="0"/>
        <w:spacing w:line="580" w:lineRule="exact"/>
        <w:jc w:val="center"/>
        <w:rPr>
          <w:rFonts w:eastAsia="黑体"/>
          <w:sz w:val="32"/>
          <w:szCs w:val="32"/>
        </w:rPr>
      </w:pPr>
      <w:r>
        <w:rPr>
          <w:rFonts w:eastAsia="黑体"/>
          <w:sz w:val="32"/>
          <w:szCs w:val="32"/>
        </w:rPr>
        <w:t>目　　　录</w:t>
      </w:r>
    </w:p>
    <w:p>
      <w:pPr>
        <w:overflowPunct w:val="0"/>
        <w:spacing w:line="580" w:lineRule="exact"/>
        <w:rPr>
          <w:rFonts w:eastAsia="仿宋_GB2312"/>
          <w:sz w:val="32"/>
          <w:szCs w:val="32"/>
        </w:rPr>
      </w:pPr>
    </w:p>
    <w:p>
      <w:pPr>
        <w:overflowPunct w:val="0"/>
        <w:spacing w:line="580" w:lineRule="exact"/>
        <w:ind w:firstLine="640"/>
        <w:rPr>
          <w:rFonts w:eastAsia="楷体_GB2312"/>
          <w:sz w:val="32"/>
          <w:szCs w:val="32"/>
        </w:rPr>
      </w:pPr>
      <w:r>
        <w:rPr>
          <w:rFonts w:eastAsia="楷体_GB2312"/>
          <w:sz w:val="32"/>
          <w:szCs w:val="32"/>
        </w:rPr>
        <w:t>第一章　总　　则</w:t>
      </w:r>
    </w:p>
    <w:p>
      <w:pPr>
        <w:overflowPunct w:val="0"/>
        <w:spacing w:line="580" w:lineRule="exact"/>
        <w:ind w:firstLine="640"/>
        <w:rPr>
          <w:rFonts w:eastAsia="楷体_GB2312"/>
          <w:sz w:val="32"/>
          <w:szCs w:val="32"/>
        </w:rPr>
      </w:pPr>
      <w:r>
        <w:rPr>
          <w:rFonts w:eastAsia="楷体_GB2312"/>
          <w:sz w:val="32"/>
          <w:szCs w:val="32"/>
        </w:rPr>
        <w:t>第二章　种质资源保护与利用</w:t>
      </w:r>
    </w:p>
    <w:p>
      <w:pPr>
        <w:overflowPunct w:val="0"/>
        <w:spacing w:line="580" w:lineRule="exact"/>
        <w:ind w:firstLine="640"/>
        <w:rPr>
          <w:rFonts w:eastAsia="楷体_GB2312"/>
          <w:sz w:val="32"/>
          <w:szCs w:val="32"/>
        </w:rPr>
      </w:pPr>
      <w:r>
        <w:rPr>
          <w:rFonts w:eastAsia="楷体_GB2312"/>
          <w:sz w:val="32"/>
          <w:szCs w:val="32"/>
        </w:rPr>
        <w:t>第三章　育种创新</w:t>
      </w:r>
    </w:p>
    <w:p>
      <w:pPr>
        <w:overflowPunct w:val="0"/>
        <w:spacing w:line="580" w:lineRule="exact"/>
        <w:ind w:firstLine="640"/>
        <w:rPr>
          <w:rFonts w:eastAsia="楷体_GB2312"/>
          <w:sz w:val="32"/>
          <w:szCs w:val="32"/>
        </w:rPr>
      </w:pPr>
      <w:r>
        <w:rPr>
          <w:rFonts w:eastAsia="楷体_GB2312"/>
          <w:sz w:val="32"/>
          <w:szCs w:val="32"/>
        </w:rPr>
        <w:t>第四章　品种管理</w:t>
      </w:r>
    </w:p>
    <w:p>
      <w:pPr>
        <w:overflowPunct w:val="0"/>
        <w:spacing w:line="580" w:lineRule="exact"/>
        <w:ind w:firstLine="640"/>
        <w:rPr>
          <w:rFonts w:eastAsia="楷体_GB2312"/>
          <w:sz w:val="32"/>
          <w:szCs w:val="32"/>
        </w:rPr>
      </w:pPr>
      <w:bookmarkStart w:id="0" w:name="_Toc29270"/>
      <w:r>
        <w:rPr>
          <w:rFonts w:eastAsia="楷体_GB2312"/>
          <w:sz w:val="32"/>
          <w:szCs w:val="32"/>
        </w:rPr>
        <w:t>第五章　生产经营</w:t>
      </w:r>
    </w:p>
    <w:p>
      <w:pPr>
        <w:overflowPunct w:val="0"/>
        <w:spacing w:line="580" w:lineRule="exact"/>
        <w:ind w:firstLine="640"/>
        <w:rPr>
          <w:rFonts w:eastAsia="楷体_GB2312"/>
          <w:sz w:val="32"/>
          <w:szCs w:val="32"/>
        </w:rPr>
      </w:pPr>
      <w:r>
        <w:rPr>
          <w:rFonts w:eastAsia="楷体_GB2312"/>
          <w:sz w:val="32"/>
          <w:szCs w:val="32"/>
        </w:rPr>
        <w:t>第六章　扶持与保障</w:t>
      </w:r>
    </w:p>
    <w:p>
      <w:pPr>
        <w:overflowPunct w:val="0"/>
        <w:spacing w:line="580" w:lineRule="exact"/>
        <w:ind w:firstLine="640"/>
        <w:rPr>
          <w:rFonts w:eastAsia="楷体_GB2312"/>
          <w:sz w:val="32"/>
          <w:szCs w:val="32"/>
        </w:rPr>
      </w:pPr>
      <w:r>
        <w:rPr>
          <w:rFonts w:eastAsia="楷体_GB2312"/>
          <w:sz w:val="32"/>
          <w:szCs w:val="32"/>
        </w:rPr>
        <w:t>第七章　法律责任</w:t>
      </w:r>
    </w:p>
    <w:p>
      <w:pPr>
        <w:overflowPunct w:val="0"/>
        <w:spacing w:line="580" w:lineRule="exact"/>
        <w:ind w:firstLine="640" w:firstLineChars="200"/>
        <w:rPr>
          <w:rFonts w:eastAsia="楷体_GB2312"/>
          <w:sz w:val="32"/>
          <w:szCs w:val="32"/>
        </w:rPr>
      </w:pPr>
      <w:r>
        <w:rPr>
          <w:rFonts w:eastAsia="楷体_GB2312"/>
          <w:sz w:val="32"/>
          <w:szCs w:val="32"/>
        </w:rPr>
        <w:t>第八章　附　　则</w:t>
      </w:r>
    </w:p>
    <w:p>
      <w:pPr>
        <w:overflowPunct w:val="0"/>
        <w:spacing w:line="580" w:lineRule="exact"/>
        <w:ind w:firstLine="640" w:firstLineChars="200"/>
        <w:rPr>
          <w:rFonts w:eastAsia="楷体_GB2312"/>
          <w:sz w:val="32"/>
          <w:szCs w:val="32"/>
        </w:rPr>
      </w:pPr>
    </w:p>
    <w:p>
      <w:pPr>
        <w:pStyle w:val="3"/>
        <w:overflowPunct w:val="0"/>
        <w:ind w:firstLine="0" w:firstLineChars="0"/>
        <w:jc w:val="center"/>
        <w:rPr>
          <w:rFonts w:eastAsia="黑体"/>
        </w:rPr>
      </w:pPr>
      <w:r>
        <w:rPr>
          <w:rFonts w:eastAsia="黑体"/>
        </w:rPr>
        <w:t>第一章　总　　则</w:t>
      </w:r>
      <w:bookmarkEnd w:id="0"/>
    </w:p>
    <w:p>
      <w:pPr>
        <w:overflowPunct w:val="0"/>
        <w:spacing w:line="580" w:lineRule="exact"/>
        <w:ind w:firstLine="420"/>
        <w:rPr>
          <w:sz w:val="32"/>
          <w:szCs w:val="32"/>
        </w:rPr>
      </w:pPr>
    </w:p>
    <w:p>
      <w:pPr>
        <w:pStyle w:val="3"/>
        <w:overflowPunct w:val="0"/>
        <w:ind w:firstLine="640"/>
      </w:pPr>
      <w:r>
        <w:rPr>
          <w:rFonts w:eastAsia="黑体"/>
        </w:rPr>
        <w:t>第一条　</w:t>
      </w:r>
      <w:bookmarkStart w:id="1" w:name="tiao_1_kuan_1"/>
      <w:bookmarkEnd w:id="1"/>
      <w:bookmarkStart w:id="2" w:name="_Hlk92446227"/>
      <w:r>
        <w:t>为了保护和合理利用种质资源，加强种业科学技术研究，激励育种创新，规范种子生产经营和管理行为，维护种子生产经营者、使用者的合法权益，发展现代种业，维护国家种源安全、粮食安全、生态安全，根据《中华人民共和国种子法》等有关法律、行政法规，结合本市实际情况，制定本条例。</w:t>
      </w:r>
      <w:bookmarkEnd w:id="2"/>
    </w:p>
    <w:p>
      <w:pPr>
        <w:pStyle w:val="3"/>
        <w:overflowPunct w:val="0"/>
        <w:ind w:firstLine="640"/>
      </w:pPr>
      <w:r>
        <w:rPr>
          <w:rFonts w:eastAsia="黑体"/>
        </w:rPr>
        <w:t>第二条　</w:t>
      </w:r>
      <w:r>
        <w:t>在本市行政区域内从事种质资源保护利用、育种创新，以及品种管理、生产经营、扶持保障等活动，适用本条例。植物新品种保护依照有关法律、行政法规的规定执行。</w:t>
      </w:r>
      <w:bookmarkStart w:id="3" w:name="tiao_2_kuan_3"/>
      <w:bookmarkEnd w:id="3"/>
      <w:bookmarkStart w:id="4" w:name="tiao_2_kuan_2"/>
      <w:bookmarkEnd w:id="4"/>
      <w:bookmarkStart w:id="5" w:name="tiao_2_kuan_1"/>
      <w:bookmarkEnd w:id="5"/>
    </w:p>
    <w:p>
      <w:pPr>
        <w:pStyle w:val="3"/>
        <w:overflowPunct w:val="0"/>
        <w:ind w:firstLine="640"/>
      </w:pPr>
      <w:r>
        <w:t>本条例所称种子，是指农作物、林木的种植材料或者繁殖材料，包括籽粒、果实、根、茎、苗、芽、叶、花等。</w:t>
      </w:r>
    </w:p>
    <w:p>
      <w:pPr>
        <w:pStyle w:val="3"/>
        <w:overflowPunct w:val="0"/>
        <w:ind w:firstLine="640"/>
      </w:pPr>
      <w:r>
        <w:rPr>
          <w:rFonts w:eastAsia="黑体"/>
        </w:rPr>
        <w:t>第三条　</w:t>
      </w:r>
      <w:r>
        <w:t>本市推进种业之都建设，促进种业科技自立自强、种源自主可控。</w:t>
      </w:r>
    </w:p>
    <w:p>
      <w:pPr>
        <w:pStyle w:val="3"/>
        <w:overflowPunct w:val="0"/>
        <w:ind w:firstLine="640"/>
      </w:pPr>
      <w:r>
        <w:rPr>
          <w:rFonts w:eastAsia="黑体"/>
        </w:rPr>
        <w:t>第四条　</w:t>
      </w:r>
      <w:r>
        <w:t>市、区人民政府应当加强对种子工作的领导，将种子工作纳入国民经济和社会发展规划和计划，将种业创新纳入国际科技创新中心建设内容，统筹协调解决种业发展重大问题，制定长期稳定支持政策措施，促进种业高质量发展。</w:t>
      </w:r>
      <w:bookmarkStart w:id="6" w:name="tiao_4_kuan_1"/>
      <w:bookmarkEnd w:id="6"/>
      <w:bookmarkStart w:id="7" w:name="tiao_4_kuan_2"/>
      <w:bookmarkEnd w:id="7"/>
    </w:p>
    <w:p>
      <w:pPr>
        <w:pStyle w:val="3"/>
        <w:overflowPunct w:val="0"/>
        <w:ind w:firstLine="640"/>
      </w:pPr>
      <w:r>
        <w:t>市人民政府应当结合乡村振兴战略和生态文明建设，组织制定和实施本市种业发展规划，并将实施情况纳入绩效考核。有关区人民政府根据本地区实际情况，制定和实施本区种业发展规划。</w:t>
      </w:r>
      <w:bookmarkStart w:id="8" w:name="tiao_5_kuan_1"/>
      <w:bookmarkEnd w:id="8"/>
      <w:r>
        <w:t>本市种业发展规划应当与城市总体规划相衔接。</w:t>
      </w:r>
    </w:p>
    <w:p>
      <w:pPr>
        <w:pStyle w:val="3"/>
        <w:overflowPunct w:val="0"/>
        <w:ind w:firstLine="640"/>
      </w:pPr>
      <w:r>
        <w:rPr>
          <w:rFonts w:eastAsia="黑体"/>
        </w:rPr>
        <w:t>第五条　</w:t>
      </w:r>
      <w:r>
        <w:t>市、区农业农村、园林绿化部门分别主管本行政区域内农作物种子和林木种子工作。</w:t>
      </w:r>
    </w:p>
    <w:p>
      <w:pPr>
        <w:pStyle w:val="3"/>
        <w:overflowPunct w:val="0"/>
        <w:ind w:firstLine="640"/>
      </w:pPr>
      <w:r>
        <w:t>发展改革、财政、科技、规划自然资源、市场监督管理、知识产权等部门，依照各自职责做好有关种子工作。</w:t>
      </w:r>
    </w:p>
    <w:p>
      <w:pPr>
        <w:pStyle w:val="3"/>
        <w:overflowPunct w:val="0"/>
        <w:ind w:firstLine="640"/>
      </w:pPr>
      <w:r>
        <w:rPr>
          <w:rFonts w:eastAsia="黑体"/>
        </w:rPr>
        <w:t>第六条　</w:t>
      </w:r>
      <w:r>
        <w:t>市人民政府建立政府主导、企业等多方参与的种子储备制度，储备的种子主要用于发生灾害时生产需要及余缺调剂，保障农业和林业生产安全。</w:t>
      </w:r>
    </w:p>
    <w:p>
      <w:pPr>
        <w:pStyle w:val="3"/>
        <w:overflowPunct w:val="0"/>
        <w:ind w:firstLine="640"/>
      </w:pPr>
      <w:r>
        <w:rPr>
          <w:rFonts w:eastAsia="黑体"/>
          <w:bCs/>
        </w:rPr>
        <w:t>第七条　</w:t>
      </w:r>
      <w:r>
        <w:t>对在种质资源保护和良种选育、推广等工作中取得显著成绩的单位和个人，农业农村、园林绿化部门依照国家规定给予表彰和奖励。</w:t>
      </w:r>
    </w:p>
    <w:p>
      <w:pPr>
        <w:pStyle w:val="3"/>
        <w:overflowPunct w:val="0"/>
        <w:ind w:firstLine="640"/>
      </w:pPr>
      <w:r>
        <w:rPr>
          <w:rFonts w:eastAsia="黑体"/>
        </w:rPr>
        <w:t>第八条　</w:t>
      </w:r>
      <w:r>
        <w:t>农业农村、园林绿化部门和科研机构、高等院校等应当加强种子基础科学技术知识、种源安全形势和相关法律法规的宣传，营造现代种业发展的良好氛围。</w:t>
      </w:r>
    </w:p>
    <w:p>
      <w:pPr>
        <w:pStyle w:val="3"/>
        <w:overflowPunct w:val="0"/>
        <w:ind w:firstLine="640"/>
      </w:pPr>
      <w:r>
        <w:rPr>
          <w:rFonts w:eastAsia="黑体"/>
          <w:bCs/>
        </w:rPr>
        <w:t>第九条　</w:t>
      </w:r>
      <w:r>
        <w:rPr>
          <w:spacing w:val="-4"/>
          <w:kern w:val="11"/>
        </w:rPr>
        <w:t>任何单位和个人有权举报违反种子法律法规的行为。</w:t>
      </w:r>
    </w:p>
    <w:p>
      <w:pPr>
        <w:pStyle w:val="3"/>
        <w:overflowPunct w:val="0"/>
        <w:ind w:firstLine="640"/>
      </w:pPr>
      <w:r>
        <w:t>农业农村、园林绿化部门应当健全完善投诉和举报制度，公开受理投诉和举报的方式，对受理的投诉和举报应当及时调查处理。</w:t>
      </w:r>
    </w:p>
    <w:p>
      <w:pPr>
        <w:overflowPunct w:val="0"/>
        <w:spacing w:line="580" w:lineRule="exact"/>
        <w:rPr>
          <w:rFonts w:eastAsia="黑体"/>
          <w:sz w:val="32"/>
          <w:szCs w:val="32"/>
        </w:rPr>
      </w:pPr>
      <w:bookmarkStart w:id="9" w:name="_Toc24716"/>
      <w:bookmarkStart w:id="10" w:name="_Toc11498"/>
      <w:bookmarkStart w:id="11" w:name="_Toc8312"/>
    </w:p>
    <w:p>
      <w:pPr>
        <w:pStyle w:val="3"/>
        <w:overflowPunct w:val="0"/>
        <w:ind w:firstLine="0" w:firstLineChars="0"/>
        <w:jc w:val="center"/>
        <w:rPr>
          <w:rFonts w:eastAsia="黑体"/>
        </w:rPr>
      </w:pPr>
      <w:r>
        <w:rPr>
          <w:rFonts w:eastAsia="黑体"/>
        </w:rPr>
        <w:t>第二章　种质资源保护</w:t>
      </w:r>
      <w:bookmarkEnd w:id="9"/>
      <w:bookmarkEnd w:id="10"/>
      <w:bookmarkEnd w:id="11"/>
      <w:r>
        <w:rPr>
          <w:rFonts w:eastAsia="黑体"/>
        </w:rPr>
        <w:t>与利用</w:t>
      </w:r>
    </w:p>
    <w:p>
      <w:pPr>
        <w:overflowPunct w:val="0"/>
        <w:spacing w:line="580" w:lineRule="exact"/>
        <w:ind w:firstLine="420"/>
        <w:rPr>
          <w:sz w:val="32"/>
          <w:szCs w:val="32"/>
        </w:rPr>
      </w:pPr>
    </w:p>
    <w:p>
      <w:pPr>
        <w:pStyle w:val="3"/>
        <w:overflowPunct w:val="0"/>
        <w:ind w:firstLine="640"/>
      </w:pPr>
      <w:r>
        <w:rPr>
          <w:rFonts w:eastAsia="黑体"/>
        </w:rPr>
        <w:t>第十条　</w:t>
      </w:r>
      <w:r>
        <w:t>种质资源保护与利用应当坚持基础性、公益性定位，遵循保护优先、高效利用，政府支持、多元参与的原则，建立健全鉴定评价体系。</w:t>
      </w:r>
    </w:p>
    <w:p>
      <w:pPr>
        <w:pStyle w:val="3"/>
        <w:overflowPunct w:val="0"/>
        <w:ind w:firstLine="640"/>
      </w:pPr>
      <w:r>
        <w:rPr>
          <w:rFonts w:eastAsia="黑体"/>
          <w:bCs/>
        </w:rPr>
        <w:t>第十一条　</w:t>
      </w:r>
      <w:bookmarkStart w:id="12" w:name="_Hlk85869816"/>
      <w:r>
        <w:t>市农业农村、园林绿化部门</w:t>
      </w:r>
      <w:bookmarkEnd w:id="12"/>
      <w:r>
        <w:t>应当会同有关部门按照国家要求，</w:t>
      </w:r>
      <w:bookmarkStart w:id="13" w:name="_Hlk85869825"/>
      <w:r>
        <w:t>编制种质资源保护与利用发展规划并组织实施，建立健全种质资源保护制度和分级分类保护体系，建设种质资源大数据平台</w:t>
      </w:r>
      <w:bookmarkEnd w:id="13"/>
      <w:r>
        <w:t>，提升种质资源保护与利用能力。</w:t>
      </w:r>
    </w:p>
    <w:p>
      <w:pPr>
        <w:pStyle w:val="3"/>
        <w:overflowPunct w:val="0"/>
        <w:ind w:firstLine="640"/>
      </w:pPr>
      <w:r>
        <w:rPr>
          <w:rFonts w:eastAsia="黑体"/>
          <w:bCs/>
        </w:rPr>
        <w:t>第十二条　</w:t>
      </w:r>
      <w:r>
        <w:t>任何单位和个人不得侵占和破坏种质资源。</w:t>
      </w:r>
    </w:p>
    <w:p>
      <w:pPr>
        <w:pStyle w:val="3"/>
        <w:overflowPunct w:val="0"/>
        <w:ind w:firstLine="640"/>
      </w:pPr>
      <w:bookmarkStart w:id="14" w:name="_Hlk85870274"/>
      <w:r>
        <w:t>市级重点保护的天然种质资源实行目录管理。未经批准不得擅自采集或者采伐列入目录的天然种质资源</w:t>
      </w:r>
      <w:bookmarkEnd w:id="14"/>
      <w:r>
        <w:t>；因科研、教学等特殊情况需要，采集或者采伐列入本市目录的天然种质资源的，应当经市农业农村、园林绿化部门批准。</w:t>
      </w:r>
    </w:p>
    <w:p>
      <w:pPr>
        <w:pStyle w:val="3"/>
        <w:overflowPunct w:val="0"/>
        <w:ind w:firstLine="640"/>
        <w:rPr>
          <w:rFonts w:eastAsia="黑体"/>
          <w:u w:val="single"/>
        </w:rPr>
      </w:pPr>
      <w:r>
        <w:t>市级重点保护的天然种质资源目录，由市农业农村、园林绿化部门分别制定，并向社会公布。</w:t>
      </w:r>
    </w:p>
    <w:p>
      <w:pPr>
        <w:pStyle w:val="3"/>
        <w:overflowPunct w:val="0"/>
        <w:ind w:firstLine="640"/>
      </w:pPr>
      <w:r>
        <w:rPr>
          <w:rFonts w:eastAsia="黑体"/>
          <w:bCs/>
        </w:rPr>
        <w:t>第十三条　</w:t>
      </w:r>
      <w:bookmarkStart w:id="15" w:name="tiao_8_kuan_2"/>
      <w:bookmarkEnd w:id="15"/>
      <w:bookmarkStart w:id="16" w:name="tiao_9_kuan_2"/>
      <w:bookmarkEnd w:id="16"/>
      <w:bookmarkStart w:id="17" w:name="tiao_39_kuan_1"/>
      <w:bookmarkEnd w:id="17"/>
      <w:bookmarkStart w:id="18" w:name="tiao_8_kuan_1"/>
      <w:bookmarkEnd w:id="18"/>
      <w:bookmarkStart w:id="19" w:name="tiao_9_kuan_1"/>
      <w:bookmarkEnd w:id="19"/>
      <w:r>
        <w:t>市农业农村、园林绿化部门应当组织开展</w:t>
      </w:r>
      <w:bookmarkStart w:id="20" w:name="_Hlk85869868"/>
      <w:r>
        <w:t>种质资</w:t>
      </w:r>
      <w:r>
        <w:rPr>
          <w:spacing w:val="-8"/>
        </w:rPr>
        <w:t>源普查和专项调查，</w:t>
      </w:r>
      <w:bookmarkEnd w:id="20"/>
      <w:bookmarkStart w:id="21" w:name="_Hlk92640800"/>
      <w:r>
        <w:rPr>
          <w:spacing w:val="-8"/>
        </w:rPr>
        <w:t>收集、整理、登记、保存、鉴定、评价</w:t>
      </w:r>
      <w:bookmarkEnd w:id="21"/>
      <w:r>
        <w:rPr>
          <w:spacing w:val="-8"/>
        </w:rPr>
        <w:t>种质资源。</w:t>
      </w:r>
    </w:p>
    <w:p>
      <w:pPr>
        <w:pStyle w:val="3"/>
        <w:overflowPunct w:val="0"/>
        <w:ind w:firstLine="640"/>
      </w:pPr>
      <w:r>
        <w:t>市农业农村、园林绿化部门应当</w:t>
      </w:r>
      <w:bookmarkStart w:id="22" w:name="_Hlk85869876"/>
      <w:r>
        <w:t>定期发布种质资源登记信息和公布本市可供利用的种质资源目录。</w:t>
      </w:r>
      <w:bookmarkEnd w:id="22"/>
    </w:p>
    <w:p>
      <w:pPr>
        <w:pStyle w:val="3"/>
        <w:overflowPunct w:val="0"/>
        <w:ind w:firstLine="640"/>
      </w:pPr>
      <w:r>
        <w:rPr>
          <w:rFonts w:eastAsia="黑体"/>
          <w:bCs/>
        </w:rPr>
        <w:t>第十四条　</w:t>
      </w:r>
      <w:r>
        <w:t>市农业农村、园林绿化部门可以根据需要建立</w:t>
      </w:r>
      <w:bookmarkStart w:id="23" w:name="_Hlk85870305"/>
      <w:r>
        <w:t>种质资源库（圃）、种质资源保护区、种质资源保护地</w:t>
      </w:r>
      <w:bookmarkEnd w:id="23"/>
      <w:r>
        <w:t>，根据实际情况，将下列具有保护价值的种质资源分别纳入其中予以保护：</w:t>
      </w:r>
    </w:p>
    <w:p>
      <w:pPr>
        <w:pStyle w:val="3"/>
        <w:overflowPunct w:val="0"/>
        <w:ind w:firstLine="640"/>
      </w:pPr>
      <w:r>
        <w:t>（一）列入国家和市级重点保护的天然种质资源目录的；</w:t>
      </w:r>
    </w:p>
    <w:p>
      <w:pPr>
        <w:pStyle w:val="3"/>
        <w:overflowPunct w:val="0"/>
        <w:ind w:firstLine="640"/>
      </w:pPr>
      <w:r>
        <w:t>（二）</w:t>
      </w:r>
      <w:r>
        <w:rPr>
          <w:spacing w:val="-8"/>
        </w:rPr>
        <w:t>农作物的野生种、野生近缘种、濒危稀有种、特色地方种；</w:t>
      </w:r>
    </w:p>
    <w:p>
      <w:pPr>
        <w:pStyle w:val="3"/>
        <w:overflowPunct w:val="0"/>
        <w:ind w:firstLine="640"/>
      </w:pPr>
      <w:r>
        <w:t>（三）珍稀、濒危树种和古树名木、主要乡土树种、本市特有的林木种质资源；</w:t>
      </w:r>
    </w:p>
    <w:p>
      <w:pPr>
        <w:overflowPunct w:val="0"/>
        <w:spacing w:line="580" w:lineRule="exact"/>
        <w:ind w:firstLine="640" w:firstLineChars="200"/>
        <w:rPr>
          <w:rFonts w:eastAsia="仿宋_GB2312"/>
          <w:sz w:val="32"/>
          <w:szCs w:val="32"/>
        </w:rPr>
      </w:pPr>
      <w:r>
        <w:rPr>
          <w:rFonts w:eastAsia="仿宋_GB2312"/>
          <w:sz w:val="32"/>
          <w:szCs w:val="32"/>
        </w:rPr>
        <w:t>（四）其他具有保护价值的种质资源。</w:t>
      </w:r>
    </w:p>
    <w:p>
      <w:pPr>
        <w:pStyle w:val="3"/>
        <w:overflowPunct w:val="0"/>
        <w:ind w:firstLine="640"/>
      </w:pPr>
      <w:r>
        <w:t>占用种质资源库（圃）、种质资源保护区、种质资源保护地，应当经原设立机关同意。</w:t>
      </w:r>
    </w:p>
    <w:p>
      <w:pPr>
        <w:pStyle w:val="3"/>
        <w:overflowPunct w:val="0"/>
        <w:ind w:firstLine="640"/>
      </w:pPr>
      <w:r>
        <w:rPr>
          <w:rFonts w:eastAsia="黑体"/>
          <w:bCs/>
        </w:rPr>
        <w:t>第十五条　</w:t>
      </w:r>
      <w:bookmarkStart w:id="24" w:name="_Hlk85870656"/>
      <w:r>
        <w:t>市农业农村、园林绿化部门负责确定</w:t>
      </w:r>
      <w:bookmarkEnd w:id="24"/>
      <w:r>
        <w:t>种质资源库（圃）、种质资源保护区、种质资源保护地等的种质资源保护单位。</w:t>
      </w:r>
    </w:p>
    <w:p>
      <w:pPr>
        <w:pStyle w:val="3"/>
        <w:overflowPunct w:val="0"/>
        <w:ind w:firstLine="640"/>
      </w:pPr>
      <w:r>
        <w:t>种质资源保护单位应当按照职责或者服务协议开展下列种质资源保护与利用相关工作，农业农村、园林绿化部门提供相应支持和保障：</w:t>
      </w:r>
    </w:p>
    <w:p>
      <w:pPr>
        <w:pStyle w:val="3"/>
        <w:overflowPunct w:val="0"/>
        <w:ind w:firstLine="640"/>
      </w:pPr>
      <w:r>
        <w:t>（一）建立健全种质资源</w:t>
      </w:r>
      <w:bookmarkStart w:id="25" w:name="_Hlk92640819"/>
      <w:r>
        <w:t>收集、登记、保存、鉴定、评价、更新、交流和共享利用</w:t>
      </w:r>
      <w:bookmarkEnd w:id="25"/>
      <w:r>
        <w:t>的管理制度，并组织实施；</w:t>
      </w:r>
    </w:p>
    <w:p>
      <w:pPr>
        <w:pStyle w:val="3"/>
        <w:overflowPunct w:val="0"/>
        <w:ind w:firstLine="640"/>
      </w:pPr>
      <w:r>
        <w:t>（二）加强种质资源保护基础理论、关键核心技术研究，开展种质资源鉴定、评价，发掘优异基因，建立DNA指纹图谱库，创制优异种质；</w:t>
      </w:r>
    </w:p>
    <w:p>
      <w:pPr>
        <w:pStyle w:val="3"/>
        <w:overflowPunct w:val="0"/>
        <w:ind w:firstLine="640"/>
      </w:pPr>
      <w:r>
        <w:t>（三）加强种质资源相关专业技术培训，强化技术支撑，稳定壮大专业人才队伍。</w:t>
      </w:r>
    </w:p>
    <w:p>
      <w:pPr>
        <w:pStyle w:val="3"/>
        <w:overflowPunct w:val="0"/>
        <w:ind w:firstLine="640"/>
      </w:pPr>
      <w:r>
        <w:t>种质资源保护单位可以利用种质资源库（圃）、种质资源保护区、种质资源保护地开展科普教育活动，因地制宜设置科普教育服务设施。</w:t>
      </w:r>
    </w:p>
    <w:p>
      <w:pPr>
        <w:pStyle w:val="9"/>
        <w:overflowPunct w:val="0"/>
        <w:spacing w:beforeAutospacing="0" w:afterAutospacing="0"/>
        <w:ind w:firstLine="640" w:firstLineChars="200"/>
        <w:jc w:val="both"/>
        <w:rPr>
          <w:rFonts w:ascii="Times New Roman" w:hAnsi="Times New Roman" w:eastAsia="仿宋_GB2312"/>
          <w:kern w:val="2"/>
          <w:sz w:val="32"/>
          <w:szCs w:val="32"/>
        </w:rPr>
      </w:pPr>
      <w:bookmarkStart w:id="26" w:name="tiao_16_kuan_1"/>
      <w:bookmarkEnd w:id="26"/>
      <w:r>
        <w:rPr>
          <w:rFonts w:ascii="Times New Roman" w:hAnsi="Times New Roman" w:eastAsia="黑体"/>
          <w:bCs/>
          <w:kern w:val="2"/>
          <w:sz w:val="32"/>
          <w:szCs w:val="32"/>
        </w:rPr>
        <w:t>第十六条　</w:t>
      </w:r>
      <w:r>
        <w:rPr>
          <w:rFonts w:ascii="Times New Roman" w:hAnsi="Times New Roman" w:eastAsia="仿宋_GB2312"/>
          <w:kern w:val="2"/>
          <w:sz w:val="32"/>
          <w:szCs w:val="32"/>
        </w:rPr>
        <w:t>在确保生物安全的前提下，鼓励单位和个人从境外引进种质资源，丰富本市种质资源多样性。市农业农村、园林绿化部门应当会同有关部门建立健全从境外引进农作物和林木种质资源的检疫隔离机制，对引进的种质资源开展检疫性有害生物和生物安全风险评估；建立健全快速通关机制，提高通关便利性。</w:t>
      </w:r>
    </w:p>
    <w:p>
      <w:pPr>
        <w:pStyle w:val="9"/>
        <w:overflowPunct w:val="0"/>
        <w:spacing w:beforeAutospacing="0" w:afterAutospacing="0"/>
        <w:ind w:firstLine="640" w:firstLineChars="200"/>
        <w:jc w:val="both"/>
        <w:rPr>
          <w:rFonts w:ascii="Times New Roman" w:hAnsi="Times New Roman" w:eastAsia="仿宋_GB2312"/>
          <w:kern w:val="2"/>
          <w:sz w:val="32"/>
          <w:szCs w:val="32"/>
        </w:rPr>
      </w:pPr>
      <w:r>
        <w:rPr>
          <w:rFonts w:ascii="Times New Roman" w:hAnsi="Times New Roman" w:eastAsia="仿宋_GB2312"/>
          <w:kern w:val="2"/>
          <w:sz w:val="32"/>
          <w:szCs w:val="32"/>
        </w:rPr>
        <w:t>市农业农村、园林绿化部门应当对从境外引进的种质资源进行登记，依托种质资源保护单位做好样品保存工作。</w:t>
      </w:r>
    </w:p>
    <w:p>
      <w:pPr>
        <w:pStyle w:val="9"/>
        <w:overflowPunct w:val="0"/>
        <w:spacing w:beforeAutospacing="0" w:afterAutospacing="0"/>
        <w:ind w:firstLine="640" w:firstLineChars="200"/>
        <w:jc w:val="both"/>
        <w:rPr>
          <w:rFonts w:ascii="Times New Roman" w:hAnsi="Times New Roman" w:eastAsia="仿宋_GB2312"/>
          <w:kern w:val="2"/>
          <w:sz w:val="32"/>
          <w:szCs w:val="32"/>
        </w:rPr>
      </w:pPr>
      <w:r>
        <w:rPr>
          <w:rFonts w:ascii="Times New Roman" w:hAnsi="Times New Roman" w:eastAsia="仿宋_GB2312"/>
          <w:kern w:val="2"/>
          <w:sz w:val="32"/>
          <w:szCs w:val="32"/>
        </w:rPr>
        <w:t>任何单位和个人向境外提供种质资源，或者与境外机构、个人开展合作研究利用种质资源的，应当依照国家有关规定办理许可。</w:t>
      </w:r>
    </w:p>
    <w:p>
      <w:pPr>
        <w:pStyle w:val="9"/>
        <w:overflowPunct w:val="0"/>
        <w:spacing w:beforeAutospacing="0" w:afterAutospacing="0"/>
        <w:ind w:firstLine="640" w:firstLineChars="200"/>
        <w:jc w:val="both"/>
        <w:rPr>
          <w:rFonts w:ascii="Times New Roman" w:hAnsi="Times New Roman" w:eastAsia="黑体"/>
          <w:bCs/>
          <w:kern w:val="2"/>
          <w:sz w:val="32"/>
          <w:szCs w:val="32"/>
        </w:rPr>
      </w:pPr>
      <w:r>
        <w:rPr>
          <w:rFonts w:ascii="Times New Roman" w:hAnsi="Times New Roman" w:eastAsia="黑体"/>
          <w:bCs/>
          <w:kern w:val="2"/>
          <w:sz w:val="32"/>
          <w:szCs w:val="32"/>
        </w:rPr>
        <w:t>第十七条　</w:t>
      </w:r>
      <w:r>
        <w:rPr>
          <w:rFonts w:ascii="Times New Roman" w:hAnsi="Times New Roman" w:eastAsia="仿宋_GB2312"/>
          <w:kern w:val="2"/>
          <w:sz w:val="32"/>
          <w:szCs w:val="32"/>
        </w:rPr>
        <w:t>鼓励和支持科研机构、高等院校、种子企业及其他单位和个人参与种质资源保护，并按照规定登记其保存的种质资源信息。</w:t>
      </w:r>
    </w:p>
    <w:p>
      <w:pPr>
        <w:pStyle w:val="9"/>
        <w:overflowPunct w:val="0"/>
        <w:spacing w:beforeAutospacing="0" w:afterAutospacing="0"/>
        <w:ind w:firstLine="640" w:firstLineChars="200"/>
        <w:jc w:val="both"/>
        <w:rPr>
          <w:rFonts w:ascii="Times New Roman" w:hAnsi="Times New Roman" w:eastAsia="仿宋_GB2312"/>
          <w:kern w:val="2"/>
          <w:sz w:val="32"/>
          <w:szCs w:val="32"/>
        </w:rPr>
      </w:pPr>
      <w:r>
        <w:rPr>
          <w:rFonts w:ascii="Times New Roman" w:hAnsi="Times New Roman" w:eastAsia="仿宋_GB2312"/>
          <w:kern w:val="2"/>
          <w:sz w:val="32"/>
          <w:szCs w:val="32"/>
        </w:rPr>
        <w:t>因科研和育种需要</w:t>
      </w:r>
      <w:bookmarkStart w:id="27" w:name="_Hlk85871299"/>
      <w:r>
        <w:rPr>
          <w:rFonts w:ascii="Times New Roman" w:hAnsi="Times New Roman" w:eastAsia="仿宋_GB2312"/>
          <w:kern w:val="2"/>
          <w:sz w:val="32"/>
          <w:szCs w:val="32"/>
        </w:rPr>
        <w:t>使用本市可供利用的种质资源的</w:t>
      </w:r>
      <w:bookmarkEnd w:id="27"/>
      <w:r>
        <w:rPr>
          <w:rFonts w:ascii="Times New Roman" w:hAnsi="Times New Roman" w:eastAsia="仿宋_GB2312"/>
          <w:kern w:val="2"/>
          <w:sz w:val="32"/>
          <w:szCs w:val="32"/>
        </w:rPr>
        <w:t>，有关单位和个人可以向种质资源保护单位提出申请。种质资源保护单位具备提供条件的，应当提供，签署种质资源获取与利用协议并做好跟踪记录；不具备提供条件的，应当说明理由。</w:t>
      </w:r>
    </w:p>
    <w:p>
      <w:pPr>
        <w:pStyle w:val="3"/>
        <w:overflowPunct w:val="0"/>
        <w:ind w:firstLine="0" w:firstLineChars="0"/>
        <w:rPr>
          <w:rFonts w:eastAsia="黑体"/>
        </w:rPr>
      </w:pPr>
      <w:bookmarkStart w:id="28" w:name="tiao_11_kuan_2"/>
      <w:bookmarkEnd w:id="28"/>
      <w:bookmarkStart w:id="29" w:name="tiao_33_kuan_1"/>
      <w:bookmarkEnd w:id="29"/>
      <w:bookmarkStart w:id="30" w:name="tiao_33"/>
      <w:bookmarkEnd w:id="30"/>
      <w:bookmarkStart w:id="31" w:name="tiao_11_kuan_1"/>
      <w:bookmarkEnd w:id="31"/>
      <w:bookmarkStart w:id="32" w:name="tiao_32_kuan_1"/>
      <w:bookmarkEnd w:id="32"/>
      <w:bookmarkStart w:id="33" w:name="_Toc8078"/>
    </w:p>
    <w:p>
      <w:pPr>
        <w:pStyle w:val="3"/>
        <w:overflowPunct w:val="0"/>
        <w:ind w:firstLine="0" w:firstLineChars="0"/>
        <w:jc w:val="center"/>
        <w:rPr>
          <w:rFonts w:eastAsia="黑体"/>
        </w:rPr>
      </w:pPr>
      <w:r>
        <w:rPr>
          <w:rFonts w:eastAsia="黑体"/>
        </w:rPr>
        <w:t>第三章　</w:t>
      </w:r>
      <w:bookmarkEnd w:id="33"/>
      <w:r>
        <w:rPr>
          <w:rFonts w:eastAsia="黑体"/>
        </w:rPr>
        <w:t>育种创新</w:t>
      </w:r>
    </w:p>
    <w:p>
      <w:pPr>
        <w:overflowPunct w:val="0"/>
        <w:spacing w:line="580" w:lineRule="exact"/>
        <w:ind w:firstLine="641"/>
        <w:rPr>
          <w:rFonts w:eastAsia="黑体"/>
          <w:sz w:val="32"/>
          <w:szCs w:val="32"/>
        </w:rPr>
      </w:pPr>
    </w:p>
    <w:p>
      <w:pPr>
        <w:pStyle w:val="3"/>
        <w:overflowPunct w:val="0"/>
        <w:ind w:firstLine="640"/>
      </w:pPr>
      <w:r>
        <w:rPr>
          <w:rFonts w:eastAsia="黑体"/>
        </w:rPr>
        <w:t>第十八条</w:t>
      </w:r>
      <w:r>
        <w:rPr>
          <w:bCs/>
        </w:rPr>
        <w:t>　</w:t>
      </w:r>
      <w:r>
        <w:t>育种创新应当围绕提高自主创新能力，坚持市场导向、企业主体、产学研用结合。</w:t>
      </w:r>
    </w:p>
    <w:p>
      <w:pPr>
        <w:pStyle w:val="3"/>
        <w:overflowPunct w:val="0"/>
        <w:ind w:firstLine="640"/>
      </w:pPr>
      <w:r>
        <w:rPr>
          <w:rFonts w:eastAsia="黑体"/>
          <w:bCs/>
        </w:rPr>
        <w:t>第十九条　</w:t>
      </w:r>
      <w:r>
        <w:t>本市强化种子企业的创新主体作用，推动不同层次和规模的种子企业协调发展。支持选育生产经营相结合的种子企业发展，重点培育具有人才、技术、资本优势的领军企业，培养具有资源、品种、模式优势的特色企业。</w:t>
      </w:r>
    </w:p>
    <w:p>
      <w:pPr>
        <w:pStyle w:val="3"/>
        <w:overflowPunct w:val="0"/>
        <w:ind w:firstLine="640"/>
      </w:pPr>
      <w:r>
        <w:t>市农业农村、园林绿化部门会同有关部门制定政策措施，支持种业智库、种业科技服务机构等专业化平台发展，为政府、企业决策提供技术支持和咨询服务。</w:t>
      </w:r>
    </w:p>
    <w:p>
      <w:pPr>
        <w:pStyle w:val="3"/>
        <w:overflowPunct w:val="0"/>
        <w:ind w:firstLine="640"/>
        <w:rPr>
          <w:rFonts w:eastAsia="黑体"/>
        </w:rPr>
      </w:pPr>
      <w:r>
        <w:t>鼓励社会单位开展植物新品种测试、种子质量检测工作。</w:t>
      </w:r>
    </w:p>
    <w:p>
      <w:pPr>
        <w:pStyle w:val="3"/>
        <w:overflowPunct w:val="0"/>
        <w:ind w:firstLine="640"/>
      </w:pPr>
      <w:r>
        <w:rPr>
          <w:rFonts w:eastAsia="黑体"/>
        </w:rPr>
        <w:t>第二十条　</w:t>
      </w:r>
      <w:r>
        <w:t>支持科研机构、高等院校重点开展育种的基础性、前沿性研究和应用技术研究以及生物育种技术研究，支持常规农作物、林木育种等研究，提高育种基础创新能力。</w:t>
      </w:r>
    </w:p>
    <w:p>
      <w:pPr>
        <w:pStyle w:val="3"/>
        <w:overflowPunct w:val="0"/>
        <w:ind w:firstLine="640"/>
      </w:pPr>
      <w:bookmarkStart w:id="34" w:name="tiao_12_kuan_1"/>
      <w:bookmarkEnd w:id="34"/>
      <w:bookmarkStart w:id="35" w:name="tiao_12_kuan_3"/>
      <w:bookmarkEnd w:id="35"/>
      <w:bookmarkStart w:id="36" w:name="tiao_12_kuan_2"/>
      <w:bookmarkEnd w:id="36"/>
      <w:r>
        <w:rPr>
          <w:rFonts w:eastAsia="黑体"/>
          <w:bCs/>
        </w:rPr>
        <w:t>第二十一条　</w:t>
      </w:r>
      <w:r>
        <w:t>支持种子企业通过组建创新联盟、产学研用创新联合体和共设研发基金、共建实验室等方式，与科研机构、高等院校在育种关键共性技术创新、优异基因挖掘、新种质创制、新品种培育等方面开展创新合作。</w:t>
      </w:r>
    </w:p>
    <w:p>
      <w:pPr>
        <w:pStyle w:val="3"/>
        <w:overflowPunct w:val="0"/>
        <w:ind w:firstLine="640"/>
      </w:pPr>
      <w:r>
        <w:rPr>
          <w:rFonts w:eastAsia="黑体"/>
        </w:rPr>
        <w:t>第二十二条</w:t>
      </w:r>
      <w:r>
        <w:t>　市农业农村、园林绿化部门应当会同有关部门制定并组织实施育种高精尖创新攻关计划，聚焦重大基础理论研究、育种关键核心技术，选育优质高效品种；创新项目立项和组织管理机制，遴选、支持优秀技术解决方案。</w:t>
      </w:r>
    </w:p>
    <w:p>
      <w:pPr>
        <w:pStyle w:val="3"/>
        <w:overflowPunct w:val="0"/>
        <w:ind w:firstLine="640"/>
      </w:pPr>
      <w:r>
        <w:rPr>
          <w:rFonts w:eastAsia="黑体"/>
        </w:rPr>
        <w:t>第二十三条　</w:t>
      </w:r>
      <w:r>
        <w:t>本市建立健全以增加知识价值为导向的种业科技成果权益分配机制，尊重、维护和保障种业科技成果转化中各方主体的合法权益。取得植物新品种权或者育种方法发明专利权的</w:t>
      </w:r>
      <w:r>
        <w:rPr>
          <w:spacing w:val="-8"/>
        </w:rPr>
        <w:t>品种得到推广应用的，育种者、权利人有权依法获得相应的经济利益。</w:t>
      </w:r>
    </w:p>
    <w:p>
      <w:pPr>
        <w:pStyle w:val="3"/>
        <w:overflowPunct w:val="0"/>
        <w:ind w:firstLine="640"/>
      </w:pPr>
      <w:r>
        <w:t>鼓励和支持采用转让、许可等方式转移转化种业科技成果。科研机构、高等院校可以以植物新品种权、专利权、种质资源和技术方法等资源与种业企业进行合作。</w:t>
      </w:r>
    </w:p>
    <w:p>
      <w:pPr>
        <w:pStyle w:val="3"/>
        <w:overflowPunct w:val="0"/>
        <w:ind w:firstLine="640"/>
      </w:pPr>
      <w:r>
        <w:rPr>
          <w:rFonts w:eastAsia="黑体"/>
        </w:rPr>
        <w:t>第二十四条　</w:t>
      </w:r>
      <w:r>
        <w:t>本市将植物新品种权、育种方法发明专利权等育种领域知识产权纳入全市知识产权保护体系，建立健全跨区域跨部门联动保护和行政司法协同保护机制，依法保护育种领域知识产权权利人的合法权益。</w:t>
      </w:r>
    </w:p>
    <w:p>
      <w:pPr>
        <w:pStyle w:val="3"/>
        <w:overflowPunct w:val="0"/>
        <w:ind w:firstLine="640"/>
      </w:pPr>
      <w:r>
        <w:rPr>
          <w:rFonts w:eastAsia="黑体"/>
          <w:bCs/>
        </w:rPr>
        <w:t>第二十五条　</w:t>
      </w:r>
      <w:r>
        <w:t>鼓励和支持种业交流交易。举办种业大会、高峰论坛等，促进国内外优势企业和创新机构聚集；搭建种业科技成果交流平台，推进创新成果集成融合与价值释放。</w:t>
      </w:r>
    </w:p>
    <w:p>
      <w:pPr>
        <w:pStyle w:val="3"/>
        <w:overflowPunct w:val="0"/>
        <w:ind w:firstLine="0" w:firstLineChars="0"/>
        <w:jc w:val="center"/>
        <w:rPr>
          <w:rFonts w:eastAsia="黑体"/>
        </w:rPr>
      </w:pPr>
      <w:r>
        <w:rPr>
          <w:rFonts w:eastAsia="黑体"/>
        </w:rPr>
        <w:t>第四章　品种管理</w:t>
      </w:r>
    </w:p>
    <w:p>
      <w:pPr>
        <w:pStyle w:val="3"/>
        <w:overflowPunct w:val="0"/>
        <w:ind w:firstLine="640"/>
      </w:pPr>
    </w:p>
    <w:p>
      <w:pPr>
        <w:pStyle w:val="3"/>
        <w:overflowPunct w:val="0"/>
        <w:ind w:firstLine="640"/>
      </w:pPr>
      <w:r>
        <w:rPr>
          <w:rFonts w:eastAsia="黑体"/>
          <w:bCs/>
        </w:rPr>
        <w:t>第二十六条　</w:t>
      </w:r>
      <w:r>
        <w:t>主要农作物品种和主要林木品种在推广前，应当依照国家有关规定通过国家或者本市审定。通过本市审定的主要农作物品种和林木良种，分别由市农业农村、园林绿化部门公告，可以在本市行政区域内适宜的生态区域推广。</w:t>
      </w:r>
    </w:p>
    <w:p>
      <w:pPr>
        <w:pStyle w:val="3"/>
        <w:overflowPunct w:val="0"/>
        <w:ind w:firstLine="640"/>
      </w:pPr>
      <w:r>
        <w:t>应当审定的主要农作物品种未经审定通过的，不得发布广告、推广、销售；应当审定的主要林木品种未经审定通过的，不得作为林木良种推广、销售，但生产确需使用的，应当依照国家有关规定认定。</w:t>
      </w:r>
    </w:p>
    <w:p>
      <w:pPr>
        <w:pStyle w:val="3"/>
        <w:overflowPunct w:val="0"/>
        <w:ind w:firstLine="640"/>
      </w:pPr>
      <w:bookmarkStart w:id="37" w:name="tiao_19_kuan_1"/>
      <w:bookmarkEnd w:id="37"/>
      <w:bookmarkStart w:id="38" w:name="tiao_19_kuan_2"/>
      <w:bookmarkEnd w:id="38"/>
      <w:bookmarkStart w:id="39" w:name="tiao_25_kuan_1"/>
      <w:bookmarkEnd w:id="39"/>
      <w:bookmarkStart w:id="40" w:name="tiao_15_kuan_1"/>
      <w:bookmarkEnd w:id="40"/>
      <w:r>
        <w:rPr>
          <w:rFonts w:eastAsia="黑体"/>
          <w:bCs/>
        </w:rPr>
        <w:t>第二十七条　</w:t>
      </w:r>
      <w:r>
        <w:t>列入国家非主要农作物登记目录的品种在推广前应当依照国家有关规定办理登记；应当登记的非主要农作物品</w:t>
      </w:r>
      <w:r>
        <w:rPr>
          <w:spacing w:val="-4"/>
        </w:rPr>
        <w:t>种未经登记的，不得发布广告、推广，不得以登记品种的名义销售。</w:t>
      </w:r>
    </w:p>
    <w:p>
      <w:pPr>
        <w:pStyle w:val="3"/>
        <w:overflowPunct w:val="0"/>
        <w:ind w:firstLine="640"/>
      </w:pPr>
      <w:r>
        <w:rPr>
          <w:rFonts w:eastAsia="黑体"/>
          <w:bCs/>
        </w:rPr>
        <w:t>第二十八条　</w:t>
      </w:r>
      <w:r>
        <w:t>引种其他省、自治区、直辖市有关部门审定通过的主要农作物品种和林木良种，到本市行政区域内同一适宜生态区域的，引种者应当将引种的品种和区域报市农业农村或者园林绿化部门备案。经备案的，由市农业农村或者园林绿化部门向社会发布公告。</w:t>
      </w:r>
    </w:p>
    <w:p>
      <w:pPr>
        <w:pStyle w:val="3"/>
        <w:overflowPunct w:val="0"/>
        <w:ind w:firstLine="640"/>
      </w:pPr>
      <w:r>
        <w:t>引种者对引种品种的真实性、适应性和安全性负责。</w:t>
      </w:r>
    </w:p>
    <w:p>
      <w:pPr>
        <w:pStyle w:val="3"/>
        <w:overflowPunct w:val="0"/>
        <w:ind w:firstLine="640"/>
      </w:pPr>
      <w:r>
        <w:t>引种品种被原审定部门撤销审定的，市农业农村部门或者园林绿化部门应当根据主动备案清理工作要求或者引种者申请，撤销引进品种备案，并向社会发布公告。</w:t>
      </w:r>
    </w:p>
    <w:p>
      <w:pPr>
        <w:pStyle w:val="3"/>
        <w:overflowPunct w:val="0"/>
        <w:ind w:firstLine="640"/>
      </w:pPr>
      <w:bookmarkStart w:id="41" w:name="tiao_41"/>
      <w:bookmarkEnd w:id="41"/>
      <w:bookmarkStart w:id="42" w:name="tiao_41_kuan_1"/>
      <w:bookmarkEnd w:id="42"/>
      <w:bookmarkStart w:id="43" w:name="tiao_40_kuan_2"/>
      <w:bookmarkEnd w:id="43"/>
      <w:bookmarkStart w:id="44" w:name="tiao_22_kuan_2"/>
      <w:bookmarkEnd w:id="44"/>
      <w:bookmarkStart w:id="45" w:name="tiao_40_kuan_1"/>
      <w:bookmarkEnd w:id="45"/>
      <w:bookmarkStart w:id="46" w:name="tiao_22_kuan_1"/>
      <w:bookmarkEnd w:id="46"/>
      <w:r>
        <w:rPr>
          <w:rFonts w:eastAsia="黑体"/>
          <w:bCs/>
        </w:rPr>
        <w:t>第二十九条　</w:t>
      </w:r>
      <w:r>
        <w:t>申请农作物品种审定、登记、备案的，申请人应当向市农业农村部门指定机构提交农作物品种的标准样品，由指定机构建立健全农作物标准样品库和DNA指纹图谱库。</w:t>
      </w:r>
    </w:p>
    <w:p>
      <w:pPr>
        <w:pStyle w:val="3"/>
        <w:overflowPunct w:val="0"/>
        <w:ind w:firstLine="640"/>
      </w:pPr>
      <w:r>
        <w:t>申请林木品种审定、认定、备案的，申请人应当向市园林绿化部门指定机构提交林木品种的标准样品，由指定机构建立健全样品库和DNA指纹图谱库。</w:t>
      </w:r>
    </w:p>
    <w:p>
      <w:pPr>
        <w:pStyle w:val="3"/>
        <w:overflowPunct w:val="0"/>
        <w:ind w:firstLine="640"/>
      </w:pPr>
      <w:r>
        <w:rPr>
          <w:rFonts w:eastAsia="黑体"/>
          <w:bCs/>
        </w:rPr>
        <w:t>第三十条　</w:t>
      </w:r>
      <w:r>
        <w:t>通过本市审定、认定的品种，有下列情形之一的，应当撤销审定、认定，并由原公告部门向社会公告：</w:t>
      </w:r>
    </w:p>
    <w:p>
      <w:pPr>
        <w:pStyle w:val="3"/>
        <w:overflowPunct w:val="0"/>
        <w:ind w:firstLine="640"/>
      </w:pPr>
      <w:r>
        <w:t>（一）申请人提供的品种标准样品不真实；</w:t>
      </w:r>
    </w:p>
    <w:p>
      <w:pPr>
        <w:pStyle w:val="3"/>
        <w:overflowPunct w:val="0"/>
        <w:ind w:firstLine="640"/>
      </w:pPr>
      <w:r>
        <w:t>（二）申请人利用伪造试验数据等欺骗手段通过审定、认定；</w:t>
      </w:r>
    </w:p>
    <w:p>
      <w:pPr>
        <w:pStyle w:val="3"/>
        <w:overflowPunct w:val="0"/>
        <w:ind w:firstLine="640"/>
      </w:pPr>
      <w:r>
        <w:t>（三）种性严重退化或者失去生产利用价值；</w:t>
      </w:r>
    </w:p>
    <w:p>
      <w:pPr>
        <w:pStyle w:val="3"/>
        <w:overflowPunct w:val="0"/>
        <w:ind w:firstLine="640"/>
      </w:pPr>
      <w:r>
        <w:t>（四）出现不可克服的严重缺陷。</w:t>
      </w:r>
    </w:p>
    <w:p>
      <w:pPr>
        <w:overflowPunct w:val="0"/>
        <w:spacing w:line="580" w:lineRule="exact"/>
        <w:ind w:firstLine="640" w:firstLineChars="200"/>
        <w:rPr>
          <w:sz w:val="32"/>
          <w:szCs w:val="32"/>
        </w:rPr>
      </w:pPr>
    </w:p>
    <w:p>
      <w:pPr>
        <w:pStyle w:val="3"/>
        <w:overflowPunct w:val="0"/>
        <w:ind w:firstLine="0" w:firstLineChars="0"/>
        <w:jc w:val="center"/>
        <w:rPr>
          <w:rFonts w:eastAsia="黑体"/>
        </w:rPr>
      </w:pPr>
      <w:bookmarkStart w:id="47" w:name="tiao_21_kuan_1"/>
      <w:bookmarkEnd w:id="47"/>
      <w:bookmarkStart w:id="48" w:name="tiao_44_kuan_1_xiang_2"/>
      <w:bookmarkEnd w:id="48"/>
      <w:bookmarkStart w:id="49" w:name="tiao_44_kuan_1_xiang_4"/>
      <w:bookmarkEnd w:id="49"/>
      <w:bookmarkStart w:id="50" w:name="tiao_44_kuan_1"/>
      <w:bookmarkEnd w:id="50"/>
      <w:bookmarkStart w:id="51" w:name="tiao_41_kuan_1_xiang_1"/>
      <w:bookmarkEnd w:id="51"/>
      <w:bookmarkStart w:id="52" w:name="tiao_44_kuan_1_xiang_1"/>
      <w:bookmarkEnd w:id="52"/>
      <w:bookmarkStart w:id="53" w:name="tiao_41_kuan_1_xiang_2"/>
      <w:bookmarkEnd w:id="53"/>
      <w:bookmarkStart w:id="54" w:name="tiao_41_kuan_2"/>
      <w:bookmarkEnd w:id="54"/>
      <w:bookmarkStart w:id="55" w:name="tiao_25_kuan_2"/>
      <w:bookmarkEnd w:id="55"/>
      <w:bookmarkStart w:id="56" w:name="tiao_44_kuan_1_xiang_3"/>
      <w:bookmarkEnd w:id="56"/>
      <w:bookmarkStart w:id="57" w:name="_Toc20108"/>
      <w:bookmarkStart w:id="58" w:name="_Toc31887"/>
      <w:bookmarkStart w:id="59" w:name="_Toc2754"/>
      <w:bookmarkStart w:id="60" w:name="_Toc31625"/>
      <w:r>
        <w:rPr>
          <w:rFonts w:eastAsia="黑体"/>
        </w:rPr>
        <w:t>第五章　生产经营</w:t>
      </w:r>
      <w:bookmarkEnd w:id="57"/>
      <w:bookmarkEnd w:id="58"/>
      <w:bookmarkEnd w:id="59"/>
    </w:p>
    <w:p>
      <w:pPr>
        <w:overflowPunct w:val="0"/>
        <w:spacing w:line="580" w:lineRule="exact"/>
        <w:ind w:firstLine="420"/>
        <w:rPr>
          <w:sz w:val="32"/>
          <w:szCs w:val="32"/>
        </w:rPr>
      </w:pPr>
    </w:p>
    <w:p>
      <w:pPr>
        <w:pStyle w:val="3"/>
        <w:overflowPunct w:val="0"/>
        <w:ind w:firstLine="640"/>
        <w:rPr>
          <w:shd w:val="clear" w:color="auto" w:fill="A6A6A6"/>
        </w:rPr>
      </w:pPr>
      <w:r>
        <w:rPr>
          <w:rFonts w:eastAsia="黑体"/>
          <w:bCs/>
        </w:rPr>
        <w:t>第三十一条　</w:t>
      </w:r>
      <w:r>
        <w:t>从事种子生产经营的，应当依法取得种子生产经营许可证，但有下列情形之一的除外：</w:t>
      </w:r>
    </w:p>
    <w:p>
      <w:pPr>
        <w:pStyle w:val="3"/>
        <w:overflowPunct w:val="0"/>
        <w:ind w:firstLine="640"/>
      </w:pPr>
      <w:r>
        <w:t>（一）仅从事非主要农作物种子或者非主要林木种子生产；</w:t>
      </w:r>
    </w:p>
    <w:p>
      <w:pPr>
        <w:pStyle w:val="3"/>
        <w:overflowPunct w:val="0"/>
        <w:ind w:firstLine="640"/>
      </w:pPr>
      <w:r>
        <w:t>（二）农民个人自繁自用剩余的常规种子在当地集贸市场上出售、串换；</w:t>
      </w:r>
    </w:p>
    <w:bookmarkEnd w:id="60"/>
    <w:p>
      <w:pPr>
        <w:pStyle w:val="3"/>
        <w:overflowPunct w:val="0"/>
        <w:ind w:firstLine="640"/>
      </w:pPr>
      <w:bookmarkStart w:id="61" w:name="tiao_31_kuan_2"/>
      <w:bookmarkEnd w:id="61"/>
      <w:bookmarkStart w:id="62" w:name="tiao_37_kuan_1"/>
      <w:bookmarkEnd w:id="62"/>
      <w:bookmarkStart w:id="63" w:name="tiao_31_kuan_4"/>
      <w:bookmarkEnd w:id="63"/>
      <w:bookmarkStart w:id="64" w:name="tiao_31_kuan_3"/>
      <w:bookmarkEnd w:id="64"/>
      <w:r>
        <w:t>（三）在种子生产经营许可证载明的有效区域设立分支机构；</w:t>
      </w:r>
    </w:p>
    <w:p>
      <w:pPr>
        <w:pStyle w:val="3"/>
        <w:overflowPunct w:val="0"/>
        <w:ind w:firstLine="640"/>
      </w:pPr>
      <w:r>
        <w:t>（四）专门经营不再分装的包装种子；</w:t>
      </w:r>
    </w:p>
    <w:p>
      <w:pPr>
        <w:pStyle w:val="3"/>
        <w:overflowPunct w:val="0"/>
        <w:ind w:firstLine="640"/>
      </w:pPr>
      <w:r>
        <w:t>（五）受具有种子生产经营许可证的生产经营者书面委托，生产、代销其种子。</w:t>
      </w:r>
    </w:p>
    <w:p>
      <w:pPr>
        <w:pStyle w:val="3"/>
        <w:overflowPunct w:val="0"/>
        <w:ind w:firstLine="640"/>
      </w:pPr>
      <w:r>
        <w:t>有前款第（三）（四）（五）项规定情形之一的，应当向所在地的农业农村或者园林绿化部门备案。</w:t>
      </w:r>
    </w:p>
    <w:p>
      <w:pPr>
        <w:pStyle w:val="3"/>
        <w:overflowPunct w:val="0"/>
        <w:ind w:firstLine="640"/>
        <w:rPr>
          <w:shd w:val="clear" w:color="auto" w:fill="A6A6A6"/>
        </w:rPr>
      </w:pPr>
      <w:r>
        <w:rPr>
          <w:rFonts w:eastAsia="黑体"/>
          <w:bCs/>
        </w:rPr>
        <w:t>第三十二条　</w:t>
      </w:r>
      <w:r>
        <w:t>生产经营者申请注销种子生产经营许可证，且不违反法律法规规定的，农业农村、园林绿化部门应当办理种子生产经营许可证注销手续，并予以公告。</w:t>
      </w:r>
    </w:p>
    <w:p>
      <w:pPr>
        <w:pStyle w:val="3"/>
        <w:overflowPunct w:val="0"/>
        <w:ind w:firstLine="640"/>
        <w:rPr>
          <w:spacing w:val="-6"/>
        </w:rPr>
      </w:pPr>
      <w:bookmarkStart w:id="65" w:name="tiao_38_kuan_2"/>
      <w:bookmarkEnd w:id="65"/>
      <w:bookmarkStart w:id="66" w:name="tiao_38_kuan_1"/>
      <w:bookmarkEnd w:id="66"/>
      <w:r>
        <w:rPr>
          <w:rFonts w:eastAsia="黑体"/>
          <w:bCs/>
        </w:rPr>
        <w:t>第三十三条　</w:t>
      </w:r>
      <w:r>
        <w:t>种子广告的内容应当符合法律、行政法规的规</w:t>
      </w:r>
      <w:r>
        <w:rPr>
          <w:spacing w:val="-6"/>
        </w:rPr>
        <w:t>定，主要性状描述等应当与种子审定、登记、认定、备案的信息一致。</w:t>
      </w:r>
    </w:p>
    <w:p>
      <w:pPr>
        <w:pStyle w:val="3"/>
        <w:overflowPunct w:val="0"/>
        <w:ind w:firstLine="640"/>
      </w:pPr>
      <w:r>
        <w:rPr>
          <w:rFonts w:eastAsia="黑体"/>
          <w:bCs/>
        </w:rPr>
        <w:t>第三十四条　</w:t>
      </w:r>
      <w:r>
        <w:t>利用互联网等信息网络经营种子的，应当在其首页显著位置持续公示种子生产经营许可证或者备案信息。</w:t>
      </w:r>
    </w:p>
    <w:p>
      <w:pPr>
        <w:pStyle w:val="3"/>
        <w:overflowPunct w:val="0"/>
        <w:ind w:firstLine="640"/>
      </w:pPr>
      <w:r>
        <w:t>电子商务平台经营者应当对平台内种子经营者的身份、联系方式、种子生产经营许可证或者备案信息等进行核验、登记，建立经营者档案，并定期核验更新。</w:t>
      </w:r>
    </w:p>
    <w:p>
      <w:pPr>
        <w:pStyle w:val="3"/>
        <w:overflowPunct w:val="0"/>
        <w:ind w:firstLine="640"/>
      </w:pPr>
      <w:bookmarkStart w:id="67" w:name="tiao_27_kuan_2"/>
      <w:bookmarkEnd w:id="67"/>
      <w:bookmarkStart w:id="68" w:name="tiao_15_kuan_2"/>
      <w:bookmarkEnd w:id="68"/>
      <w:bookmarkStart w:id="69" w:name="tiao_36_kuan_1"/>
      <w:bookmarkEnd w:id="69"/>
      <w:r>
        <w:t>通过种业大会等展销会销售种子的，展销会承办单位应当对销售者的种子生产经营许可证或者备案信息等进行核验。</w:t>
      </w:r>
    </w:p>
    <w:p>
      <w:pPr>
        <w:pStyle w:val="3"/>
        <w:overflowPunct w:val="0"/>
        <w:ind w:firstLine="640"/>
      </w:pPr>
      <w:r>
        <w:rPr>
          <w:rFonts w:eastAsia="黑体"/>
        </w:rPr>
        <w:t>第三十五条　</w:t>
      </w:r>
      <w:r>
        <w:t>鼓励林木种子生产经营者使用电子标签，建立生产经营电子档案，增强林木种子质量可追溯性。林木种子电子标签、电子档案的内容应当符合国家和本市有关规定。</w:t>
      </w:r>
    </w:p>
    <w:p>
      <w:pPr>
        <w:pStyle w:val="3"/>
        <w:overflowPunct w:val="0"/>
        <w:ind w:firstLine="640"/>
      </w:pPr>
      <w:bookmarkStart w:id="70" w:name="tiao_56_kuan_3"/>
      <w:bookmarkEnd w:id="70"/>
      <w:bookmarkStart w:id="71" w:name="tiao_27_kuan_1"/>
      <w:bookmarkEnd w:id="71"/>
      <w:bookmarkStart w:id="72" w:name="tiao_27_kuan_1_xiang_1"/>
      <w:bookmarkEnd w:id="72"/>
      <w:bookmarkStart w:id="73" w:name="tiao_27_kuan_1_xiang_4"/>
      <w:bookmarkEnd w:id="73"/>
      <w:bookmarkStart w:id="74" w:name="tiao_27_kuan_1_xiang_3"/>
      <w:bookmarkEnd w:id="74"/>
      <w:bookmarkStart w:id="75" w:name="tiao_27_kuan_1_xiang_2"/>
      <w:bookmarkEnd w:id="75"/>
      <w:bookmarkStart w:id="76" w:name="tiao_56_kuan_1"/>
      <w:bookmarkEnd w:id="76"/>
      <w:bookmarkStart w:id="77" w:name="tiao_42_kuan_1"/>
      <w:bookmarkEnd w:id="77"/>
      <w:bookmarkStart w:id="78" w:name="tiao_56_kuan_2"/>
      <w:bookmarkEnd w:id="78"/>
      <w:bookmarkStart w:id="79" w:name="_Toc32548"/>
      <w:bookmarkStart w:id="80" w:name="_Toc11277"/>
      <w:r>
        <w:rPr>
          <w:rFonts w:eastAsia="黑体"/>
          <w:bCs/>
        </w:rPr>
        <w:t>第三十六条　</w:t>
      </w:r>
      <w:r>
        <w:t>市园林绿化部门应当加强保障性苗圃建设，提高重大活动、重点工程的用种保障能力。</w:t>
      </w:r>
    </w:p>
    <w:p>
      <w:pPr>
        <w:pStyle w:val="3"/>
        <w:overflowPunct w:val="0"/>
        <w:ind w:firstLine="640"/>
      </w:pPr>
      <w:r>
        <w:t>政府投资或者以政府投资为主的造林绿化项目，实施单位应当根据园林绿化部门制定的计划使用附有标签的林木良种和乡土树种。</w:t>
      </w:r>
    </w:p>
    <w:bookmarkEnd w:id="79"/>
    <w:bookmarkEnd w:id="80"/>
    <w:p>
      <w:pPr>
        <w:overflowPunct w:val="0"/>
        <w:spacing w:line="580" w:lineRule="exact"/>
        <w:ind w:firstLine="640" w:firstLineChars="200"/>
        <w:rPr>
          <w:rFonts w:eastAsia="黑体"/>
          <w:sz w:val="32"/>
          <w:szCs w:val="32"/>
        </w:rPr>
      </w:pPr>
      <w:bookmarkStart w:id="81" w:name="tiao_45_kuan_1"/>
      <w:bookmarkEnd w:id="81"/>
      <w:bookmarkStart w:id="82" w:name="_Toc17443"/>
      <w:bookmarkStart w:id="83" w:name="_Toc16776"/>
      <w:bookmarkStart w:id="84" w:name="_Hlk59033748"/>
      <w:bookmarkStart w:id="85" w:name="_Toc4299"/>
    </w:p>
    <w:p>
      <w:pPr>
        <w:pStyle w:val="3"/>
        <w:overflowPunct w:val="0"/>
        <w:ind w:firstLine="0" w:firstLineChars="0"/>
        <w:jc w:val="center"/>
        <w:rPr>
          <w:rFonts w:eastAsia="黑体"/>
        </w:rPr>
      </w:pPr>
      <w:r>
        <w:rPr>
          <w:rFonts w:eastAsia="黑体"/>
        </w:rPr>
        <w:t>第六章</w:t>
      </w:r>
      <w:bookmarkEnd w:id="82"/>
      <w:r>
        <w:rPr>
          <w:rFonts w:eastAsia="黑体"/>
        </w:rPr>
        <w:t>　扶持与保障</w:t>
      </w:r>
      <w:bookmarkEnd w:id="83"/>
      <w:bookmarkEnd w:id="84"/>
      <w:bookmarkEnd w:id="85"/>
    </w:p>
    <w:p>
      <w:pPr>
        <w:pStyle w:val="3"/>
        <w:overflowPunct w:val="0"/>
        <w:ind w:firstLine="640"/>
        <w:rPr>
          <w:rFonts w:eastAsia="黑体"/>
          <w:bCs/>
        </w:rPr>
      </w:pPr>
    </w:p>
    <w:p>
      <w:pPr>
        <w:pStyle w:val="3"/>
        <w:overflowPunct w:val="0"/>
        <w:ind w:firstLine="640"/>
      </w:pPr>
      <w:r>
        <w:rPr>
          <w:rFonts w:eastAsia="黑体"/>
          <w:bCs/>
        </w:rPr>
        <w:t>第三十七条</w:t>
      </w:r>
      <w:r>
        <w:t>　本市综合运用产业布局、合作协同、财税金融、人才培养、营商环境等方面的措施，促进种业振兴。</w:t>
      </w:r>
    </w:p>
    <w:p>
      <w:pPr>
        <w:pStyle w:val="3"/>
        <w:overflowPunct w:val="0"/>
        <w:ind w:firstLine="640"/>
      </w:pPr>
      <w:r>
        <w:rPr>
          <w:rFonts w:eastAsia="黑体"/>
          <w:bCs/>
        </w:rPr>
        <w:t>第三十八条　</w:t>
      </w:r>
      <w:r>
        <w:t>市、区人民政府应当根据本市种业发展规划，优化种业发展布局，规划建设规模适当、集中稳定的种子科研试验、生产繁育、展示示范基地，吸纳种业生产要素聚集，合理配置科研实验设施和其他必要基础设施的建设用地指标，并在土地租赁、设施建设等方面给予政策支持。</w:t>
      </w:r>
    </w:p>
    <w:p>
      <w:pPr>
        <w:pStyle w:val="3"/>
        <w:overflowPunct w:val="0"/>
        <w:ind w:firstLine="640"/>
      </w:pPr>
      <w:r>
        <w:rPr>
          <w:rFonts w:eastAsia="黑体"/>
        </w:rPr>
        <w:t>第三十九条　</w:t>
      </w:r>
      <w:r>
        <w:t>本市建立健全种业科技创新协调机制，加强与国家有关部门、在京单位的联系，协同建设联合研究平台，承接国家现代种业重大项目，支持有关单位在京开展种质资源保护、育种创新和育种科技成果转化等活动。</w:t>
      </w:r>
    </w:p>
    <w:p>
      <w:pPr>
        <w:pStyle w:val="3"/>
        <w:overflowPunct w:val="0"/>
        <w:ind w:firstLine="640"/>
        <w:rPr>
          <w:rFonts w:eastAsia="楷体_GB2312"/>
        </w:rPr>
      </w:pPr>
      <w:r>
        <w:rPr>
          <w:rFonts w:eastAsia="黑体"/>
        </w:rPr>
        <w:t>第四十条　</w:t>
      </w:r>
      <w:r>
        <w:t>市农业农村、园林绿化部门应当与天津市、河北省等周边地区建立健全种业创新、植物新品种权保护、人才技术交流、信息共享、执法等协作机制，促进区域协同发展。</w:t>
      </w:r>
    </w:p>
    <w:p>
      <w:pPr>
        <w:pStyle w:val="3"/>
        <w:overflowPunct w:val="0"/>
        <w:ind w:firstLine="640"/>
      </w:pPr>
      <w:r>
        <w:rPr>
          <w:rFonts w:eastAsia="黑体"/>
          <w:bCs/>
        </w:rPr>
        <w:t>第四十一条　</w:t>
      </w:r>
      <w:r>
        <w:t>市人民政府应当落实国家南繁规划，支持北京南繁科研育种基地建设，加大科研支持力度，完善科研育种、配套生产生活设施建设，提升服务水平。</w:t>
      </w:r>
    </w:p>
    <w:p>
      <w:pPr>
        <w:pStyle w:val="3"/>
        <w:overflowPunct w:val="0"/>
        <w:spacing w:line="550" w:lineRule="exact"/>
        <w:ind w:firstLine="640"/>
      </w:pPr>
      <w:r>
        <w:t>本市鼓励科研机构、高等院校、种子企业与外埠优势区域种业基地合作，在全国范围内布局科研育种基地、良种繁育生产与加工基地。</w:t>
      </w:r>
    </w:p>
    <w:p>
      <w:pPr>
        <w:pStyle w:val="3"/>
        <w:overflowPunct w:val="0"/>
        <w:spacing w:line="550" w:lineRule="exact"/>
        <w:ind w:firstLine="640"/>
      </w:pPr>
      <w:r>
        <w:rPr>
          <w:rFonts w:eastAsia="黑体"/>
        </w:rPr>
        <w:t>第四十二条　</w:t>
      </w:r>
      <w:r>
        <w:t>市人民政府应当安排资金专项用于种质资源保护与利用、关键核心育种技术创新、生物育种产业化应用、种业知识产权保护、种业支撑服务平台建设等方面，加大对种业创新的支持力度。</w:t>
      </w:r>
    </w:p>
    <w:p>
      <w:pPr>
        <w:pStyle w:val="3"/>
        <w:overflowPunct w:val="0"/>
        <w:spacing w:line="550" w:lineRule="exact"/>
        <w:ind w:firstLine="640"/>
      </w:pPr>
      <w:r>
        <w:t>利用财政资金设立的支持企业发展、科技创新的专项资金、政策性基金等，政府有关部门应当加强统筹协调，加大对符合条件的种子企业的支持力度。</w:t>
      </w:r>
    </w:p>
    <w:p>
      <w:pPr>
        <w:pStyle w:val="3"/>
        <w:overflowPunct w:val="0"/>
        <w:spacing w:line="550" w:lineRule="exact"/>
        <w:ind w:firstLine="640"/>
      </w:pPr>
      <w:r>
        <w:rPr>
          <w:rFonts w:eastAsia="黑体"/>
        </w:rPr>
        <w:t>第四十三条　</w:t>
      </w:r>
      <w:r>
        <w:t>符合国家规定条件的创新型种业企业，可以按照规定享受国家支持科技创新的研发费用税前加计扣除等税收优惠政策。</w:t>
      </w:r>
    </w:p>
    <w:p>
      <w:pPr>
        <w:pStyle w:val="3"/>
        <w:overflowPunct w:val="0"/>
        <w:spacing w:line="550" w:lineRule="exact"/>
        <w:ind w:firstLine="640"/>
      </w:pPr>
      <w:r>
        <w:rPr>
          <w:rFonts w:eastAsia="黑体"/>
        </w:rPr>
        <w:t>第四十四条　</w:t>
      </w:r>
      <w:r>
        <w:t>鼓励和支持社会资本投资现代种业创新，扶持种子企业扩大规模，提高竞争力；鼓励和引导金融机构为种业创新发展提供金融支持。</w:t>
      </w:r>
      <w:bookmarkStart w:id="86" w:name="tiao_67_kuan_1"/>
      <w:bookmarkEnd w:id="86"/>
      <w:bookmarkStart w:id="87" w:name="tiao_66_kuan_1"/>
      <w:bookmarkEnd w:id="87"/>
      <w:bookmarkStart w:id="88" w:name="tiao_67"/>
      <w:bookmarkEnd w:id="88"/>
    </w:p>
    <w:p>
      <w:pPr>
        <w:pStyle w:val="3"/>
        <w:overflowPunct w:val="0"/>
        <w:spacing w:line="550" w:lineRule="exact"/>
        <w:ind w:firstLine="640"/>
      </w:pPr>
      <w:r>
        <w:rPr>
          <w:rFonts w:eastAsia="黑体"/>
        </w:rPr>
        <w:t>第四十五条　</w:t>
      </w:r>
      <w:r>
        <w:t>市农业农村、园林绿化部门建立健全优良品种使用补贴机制，制定、公布适宜本地使用的农作物和林木优良品种目录，提升优良品种应用水平。</w:t>
      </w:r>
    </w:p>
    <w:p>
      <w:pPr>
        <w:pStyle w:val="3"/>
        <w:overflowPunct w:val="0"/>
        <w:spacing w:line="550" w:lineRule="exact"/>
        <w:ind w:firstLine="640"/>
      </w:pPr>
      <w:r>
        <w:rPr>
          <w:rFonts w:eastAsia="黑体"/>
          <w:bCs/>
        </w:rPr>
        <w:t>第四十六条　</w:t>
      </w:r>
      <w:r>
        <w:t>鼓励科研机构、高等院校和种子企业引进国内外高层次人才，对符合本市有关规定的高层次人才给予相应政策支持。</w:t>
      </w:r>
    </w:p>
    <w:p>
      <w:pPr>
        <w:pStyle w:val="3"/>
        <w:overflowPunct w:val="0"/>
        <w:spacing w:line="550" w:lineRule="exact"/>
        <w:ind w:firstLine="640"/>
      </w:pPr>
      <w:r>
        <w:t>市人力资源和社会保障部门会同有关部门建立健全种业实用技术人才分类评价机制，将育种辅助、检验测试、鉴定评价等基础性工作情况作为职称评定的重要参考。</w:t>
      </w:r>
    </w:p>
    <w:p>
      <w:pPr>
        <w:pStyle w:val="3"/>
        <w:overflowPunct w:val="0"/>
        <w:spacing w:line="550" w:lineRule="exact"/>
        <w:ind w:firstLine="640"/>
      </w:pPr>
      <w:r>
        <w:t>鼓励组织种业专业技术人员培训，培养田间育种辅助人员、检验测试人员、鉴定评价技术人员等实用技术人才。</w:t>
      </w:r>
    </w:p>
    <w:p>
      <w:pPr>
        <w:pStyle w:val="3"/>
        <w:overflowPunct w:val="0"/>
        <w:spacing w:line="550" w:lineRule="exact"/>
        <w:ind w:firstLine="640"/>
      </w:pPr>
      <w:r>
        <w:rPr>
          <w:rFonts w:eastAsia="黑体"/>
          <w:bCs/>
        </w:rPr>
        <w:t>第四十七条　</w:t>
      </w:r>
      <w:r>
        <w:t>农业农村、园林绿化部门建立健全种业监测机制，收集、整理和分析种子科技研发、生产经营、市场动态等信息，为政策制定和企业生产经营提供参考。</w:t>
      </w:r>
    </w:p>
    <w:p>
      <w:pPr>
        <w:pStyle w:val="3"/>
        <w:overflowPunct w:val="0"/>
        <w:spacing w:line="550" w:lineRule="exact"/>
        <w:ind w:firstLine="640"/>
      </w:pPr>
      <w:r>
        <w:rPr>
          <w:rFonts w:eastAsia="黑体"/>
          <w:bCs/>
        </w:rPr>
        <w:t>第四十八条　</w:t>
      </w:r>
      <w:r>
        <w:t>农业农村、园林绿化部门应当会同有关部门建立健全种子生产经营信用管理制度，完善守信激励和失信惩戒机制，建立种子生产经营者信用记录，并依法向社会公开，促进市场主体依法诚信经营。</w:t>
      </w:r>
    </w:p>
    <w:p>
      <w:pPr>
        <w:pStyle w:val="3"/>
        <w:overflowPunct w:val="0"/>
        <w:spacing w:line="550" w:lineRule="exact"/>
        <w:ind w:firstLine="640"/>
      </w:pPr>
      <w:r>
        <w:t>农业农村、园林绿化部门与市场监督管理、公安等部门建立联合执法协调机制，实行执法信息共享和案件移送。</w:t>
      </w:r>
    </w:p>
    <w:p>
      <w:pPr>
        <w:pStyle w:val="3"/>
        <w:overflowPunct w:val="0"/>
        <w:spacing w:line="550" w:lineRule="exact"/>
        <w:ind w:firstLine="640"/>
      </w:pPr>
      <w:r>
        <w:rPr>
          <w:rFonts w:eastAsia="黑体"/>
          <w:bCs/>
        </w:rPr>
        <w:t>第四十九条　</w:t>
      </w:r>
      <w:r>
        <w:t>种子行业协会应当加强行业自律，维护会员合法权益，为会员和行业发展提供信息交流、技术培训、技术服务、信用建设、市场营销和咨询等服务。</w:t>
      </w:r>
    </w:p>
    <w:p>
      <w:pPr>
        <w:pStyle w:val="3"/>
        <w:overflowPunct w:val="0"/>
        <w:spacing w:line="550" w:lineRule="exact"/>
        <w:ind w:firstLine="640"/>
      </w:pPr>
      <w:r>
        <w:rPr>
          <w:rFonts w:eastAsia="黑体"/>
        </w:rPr>
        <w:t>第五十条</w:t>
      </w:r>
      <w:r>
        <w:t>　鼓励种子科研机构、高等院校、种子企业与农民专业合作社、家庭农场、集体林场、农户开展合作，建立利益联结机制，带动农民增收致富。</w:t>
      </w:r>
    </w:p>
    <w:p>
      <w:pPr>
        <w:pStyle w:val="3"/>
        <w:overflowPunct w:val="0"/>
        <w:spacing w:line="550" w:lineRule="exact"/>
        <w:ind w:firstLine="0" w:firstLineChars="0"/>
        <w:rPr>
          <w:rFonts w:eastAsia="黑体"/>
        </w:rPr>
      </w:pPr>
      <w:bookmarkStart w:id="89" w:name="tiao_68_kuan_1"/>
      <w:bookmarkEnd w:id="89"/>
      <w:bookmarkStart w:id="90" w:name="_Toc7206"/>
    </w:p>
    <w:p>
      <w:pPr>
        <w:pStyle w:val="3"/>
        <w:overflowPunct w:val="0"/>
        <w:spacing w:line="550" w:lineRule="exact"/>
        <w:ind w:firstLine="0" w:firstLineChars="0"/>
        <w:jc w:val="center"/>
        <w:rPr>
          <w:rFonts w:eastAsia="黑体"/>
        </w:rPr>
      </w:pPr>
      <w:r>
        <w:rPr>
          <w:rFonts w:eastAsia="黑体"/>
        </w:rPr>
        <w:t>第七章　法律责任</w:t>
      </w:r>
      <w:bookmarkEnd w:id="90"/>
    </w:p>
    <w:p>
      <w:pPr>
        <w:pStyle w:val="3"/>
        <w:overflowPunct w:val="0"/>
        <w:spacing w:line="550" w:lineRule="exact"/>
        <w:ind w:firstLine="640"/>
        <w:rPr>
          <w:rFonts w:eastAsia="黑体"/>
        </w:rPr>
      </w:pPr>
    </w:p>
    <w:p>
      <w:pPr>
        <w:pStyle w:val="3"/>
        <w:overflowPunct w:val="0"/>
        <w:spacing w:line="550" w:lineRule="exact"/>
        <w:ind w:firstLine="640"/>
      </w:pPr>
      <w:r>
        <w:rPr>
          <w:rFonts w:eastAsia="黑体"/>
        </w:rPr>
        <w:t>第五十一条　</w:t>
      </w:r>
      <w:r>
        <w:t>违反本条例第十二条第二款规定，未经批准擅自采集或者采伐列入市级目录的天然种质资源的，由农业农村或者园林绿化部门责令停止违法行为，没收种质资源和违法所得，处三千元以上三万元以下罚款；造成损失的，依法承担赔偿责任。</w:t>
      </w:r>
    </w:p>
    <w:p>
      <w:pPr>
        <w:pStyle w:val="3"/>
        <w:overflowPunct w:val="0"/>
        <w:ind w:firstLine="640"/>
      </w:pPr>
      <w:bookmarkStart w:id="91" w:name="tiao_81_kuan_1"/>
      <w:bookmarkEnd w:id="91"/>
      <w:bookmarkStart w:id="92" w:name="tiao_28_kuan_1"/>
      <w:bookmarkEnd w:id="92"/>
      <w:bookmarkStart w:id="93" w:name="tiao_28_kuan_2"/>
      <w:bookmarkEnd w:id="93"/>
      <w:bookmarkStart w:id="94" w:name="tiao_82_kuan_1"/>
      <w:bookmarkEnd w:id="94"/>
      <w:bookmarkStart w:id="95" w:name="tiao_80_kuan_1_xiang_5"/>
      <w:bookmarkEnd w:id="95"/>
      <w:r>
        <w:rPr>
          <w:rFonts w:eastAsia="黑体"/>
        </w:rPr>
        <w:t>第五十二条　</w:t>
      </w:r>
      <w:r>
        <w:t>种子广告内容违反本条例第三十三条规定的，依照《中华人民共和国广告法》的有关规定追究法律责任。</w:t>
      </w:r>
    </w:p>
    <w:p>
      <w:pPr>
        <w:pStyle w:val="3"/>
        <w:overflowPunct w:val="0"/>
        <w:ind w:firstLine="640"/>
      </w:pPr>
      <w:bookmarkStart w:id="96" w:name="tiao_58_kuan_1_xiang_10"/>
      <w:bookmarkEnd w:id="96"/>
      <w:bookmarkStart w:id="97" w:name="tiao_58_kuan_1_xiang_13"/>
      <w:bookmarkEnd w:id="97"/>
      <w:bookmarkStart w:id="98" w:name="tiao_58_kuan_1_xiang_14"/>
      <w:bookmarkEnd w:id="98"/>
      <w:bookmarkStart w:id="99" w:name="tiao_58_kuan_1_xiang_8"/>
      <w:bookmarkEnd w:id="99"/>
      <w:bookmarkStart w:id="100" w:name="tiao_58_kuan_1_xiang_3"/>
      <w:bookmarkEnd w:id="100"/>
      <w:bookmarkStart w:id="101" w:name="tiao_78_kuan_1"/>
      <w:bookmarkEnd w:id="101"/>
      <w:bookmarkStart w:id="102" w:name="tiao_58_kuan_1_xiang_1"/>
      <w:bookmarkEnd w:id="102"/>
      <w:bookmarkStart w:id="103" w:name="tiao_78_kuan_1_xiang_4"/>
      <w:bookmarkEnd w:id="103"/>
      <w:bookmarkStart w:id="104" w:name="tiao_78_kuan_2"/>
      <w:bookmarkEnd w:id="104"/>
      <w:bookmarkStart w:id="105" w:name="tiao_58_kuan_1_xiang_11"/>
      <w:bookmarkEnd w:id="105"/>
      <w:bookmarkStart w:id="106" w:name="tiao_58_kuan_1"/>
      <w:bookmarkEnd w:id="106"/>
      <w:bookmarkStart w:id="107" w:name="tiao_58_kuan_1_xiang_4"/>
      <w:bookmarkEnd w:id="107"/>
      <w:bookmarkStart w:id="108" w:name="tiao_58_kuan_1_xiang_9"/>
      <w:bookmarkEnd w:id="108"/>
      <w:bookmarkStart w:id="109" w:name="tiao_58_kuan_1_xiang_5"/>
      <w:bookmarkEnd w:id="109"/>
      <w:bookmarkStart w:id="110" w:name="tiao_78_kuan_1_xiang_3"/>
      <w:bookmarkEnd w:id="110"/>
      <w:bookmarkStart w:id="111" w:name="tiao_78_kuan_1_xiang_5"/>
      <w:bookmarkEnd w:id="111"/>
      <w:bookmarkStart w:id="112" w:name="tiao_58_kuan_1_xiang_7"/>
      <w:bookmarkEnd w:id="112"/>
      <w:bookmarkStart w:id="113" w:name="tiao_78_kuan_1_xiang_1"/>
      <w:bookmarkEnd w:id="113"/>
      <w:bookmarkStart w:id="114" w:name="tiao_58_kuan_1_xiang_12"/>
      <w:bookmarkEnd w:id="114"/>
      <w:bookmarkStart w:id="115" w:name="tiao_78_kuan_1_xiang_2"/>
      <w:bookmarkEnd w:id="115"/>
      <w:bookmarkStart w:id="116" w:name="tiao_58_kuan_1_xiang_2"/>
      <w:bookmarkEnd w:id="116"/>
      <w:bookmarkStart w:id="117" w:name="tiao_58_kuan_1_xiang_6"/>
      <w:bookmarkEnd w:id="117"/>
      <w:r>
        <w:rPr>
          <w:rFonts w:eastAsia="黑体"/>
        </w:rPr>
        <w:t>第五十三条　</w:t>
      </w:r>
      <w:r>
        <w:t>违反本条例第三十四条第一款规定，利用互联网等信息网络经营种子的种子经营者未在首页显著位置持续公示种子生产经营许可证或者备案信息的，由市场监督管理部门责令限期改正，可以处两千元以上一万元以下罚款</w:t>
      </w:r>
      <w:bookmarkStart w:id="118" w:name="tiao_76_kuan_1_xiang_3"/>
      <w:bookmarkEnd w:id="118"/>
      <w:bookmarkStart w:id="119" w:name="tiao_76_kuan_2"/>
      <w:bookmarkEnd w:id="119"/>
      <w:bookmarkStart w:id="120" w:name="tiao_76_kuan_1"/>
      <w:bookmarkEnd w:id="120"/>
      <w:bookmarkStart w:id="121" w:name="tiao_76_kuan_1_xiang_2"/>
      <w:bookmarkEnd w:id="121"/>
      <w:bookmarkStart w:id="122" w:name="tiao_76_kuan_1_xiang_1"/>
      <w:bookmarkEnd w:id="122"/>
      <w:r>
        <w:t>；电子商务平台经营者对平台内种子经营者未依法采取必要措施的，由市场监督管理部门责令限期改正，可以处二万元以上十万元以下罚款。</w:t>
      </w:r>
    </w:p>
    <w:p>
      <w:pPr>
        <w:pStyle w:val="3"/>
        <w:overflowPunct w:val="0"/>
        <w:ind w:firstLine="640"/>
      </w:pPr>
      <w:r>
        <w:t>违反本条例第三十四条第二款规定，电子商务平台经营者未核验、登记平台内种子经营者有关信息或者未建立经营者档案的，由市场监督管理部门责令限期改正；逾期不改正的，处二万元以上十万元以下罚款；情节严重的，责令停业整顿，并处十万元以上五十万元以下罚款。</w:t>
      </w:r>
    </w:p>
    <w:p>
      <w:pPr>
        <w:pStyle w:val="3"/>
        <w:overflowPunct w:val="0"/>
        <w:ind w:firstLine="640"/>
      </w:pPr>
    </w:p>
    <w:p>
      <w:pPr>
        <w:pStyle w:val="3"/>
        <w:overflowPunct w:val="0"/>
        <w:ind w:firstLine="0" w:firstLineChars="0"/>
        <w:jc w:val="center"/>
        <w:rPr>
          <w:rFonts w:eastAsia="黑体"/>
        </w:rPr>
      </w:pPr>
      <w:bookmarkStart w:id="123" w:name="tiao_73_kuan_1"/>
      <w:bookmarkEnd w:id="123"/>
      <w:bookmarkStart w:id="124" w:name="tiao_54_kuan_1"/>
      <w:bookmarkEnd w:id="124"/>
      <w:bookmarkStart w:id="125" w:name="tiao_80_kuan_2"/>
      <w:bookmarkEnd w:id="125"/>
      <w:bookmarkStart w:id="126" w:name="tiao_80_kuan_1_xiang_3"/>
      <w:bookmarkEnd w:id="126"/>
      <w:bookmarkStart w:id="127" w:name="tiao_73_kuan_2"/>
      <w:bookmarkEnd w:id="127"/>
      <w:bookmarkStart w:id="128" w:name="tiao_80_kuan_1_xiang_2"/>
      <w:bookmarkEnd w:id="128"/>
      <w:bookmarkStart w:id="129" w:name="tiao_80_kuan_1"/>
      <w:bookmarkEnd w:id="129"/>
      <w:bookmarkStart w:id="130" w:name="tiao_80_kuan_1_xiang_4"/>
      <w:bookmarkEnd w:id="130"/>
      <w:bookmarkStart w:id="131" w:name="tiao_80_kuan_1_xiang_1"/>
      <w:bookmarkEnd w:id="131"/>
      <w:bookmarkStart w:id="132" w:name="tiao_54_kuan_2"/>
      <w:bookmarkEnd w:id="132"/>
      <w:bookmarkStart w:id="133" w:name="tiao_130_kuan_1"/>
      <w:bookmarkEnd w:id="133"/>
      <w:bookmarkStart w:id="134" w:name="_Toc31056"/>
      <w:r>
        <w:rPr>
          <w:rFonts w:eastAsia="黑体"/>
        </w:rPr>
        <w:t>第八章　附　　则</w:t>
      </w:r>
      <w:bookmarkEnd w:id="134"/>
    </w:p>
    <w:p>
      <w:pPr>
        <w:pStyle w:val="3"/>
        <w:overflowPunct w:val="0"/>
        <w:ind w:firstLine="640"/>
        <w:rPr>
          <w:rFonts w:eastAsia="黑体"/>
        </w:rPr>
      </w:pPr>
    </w:p>
    <w:p>
      <w:pPr>
        <w:pStyle w:val="3"/>
        <w:overflowPunct w:val="0"/>
        <w:ind w:firstLine="640"/>
      </w:pPr>
      <w:r>
        <w:rPr>
          <w:rFonts w:eastAsia="黑体"/>
        </w:rPr>
        <w:t>第五十四条</w:t>
      </w:r>
      <w:r>
        <w:t>　本条例下列用语的含义是：</w:t>
      </w:r>
    </w:p>
    <w:p>
      <w:pPr>
        <w:pStyle w:val="3"/>
        <w:overflowPunct w:val="0"/>
        <w:ind w:firstLine="640"/>
      </w:pPr>
      <w:r>
        <w:t>（一）种质资源，是指选育植物新品种的基础材料，包括各种植物的栽培种、野生种的繁殖材料以及利用上述繁殖材料人工创造的各种植物的遗传材料。</w:t>
      </w:r>
    </w:p>
    <w:p>
      <w:pPr>
        <w:pStyle w:val="3"/>
        <w:overflowPunct w:val="0"/>
        <w:ind w:firstLine="640"/>
      </w:pPr>
      <w:r>
        <w:t>（二）品种，是指经过人工选育或者发现并经过改良，形态特征和生物学特性一致，遗传性状相对稳定的植物群体。</w:t>
      </w:r>
    </w:p>
    <w:p>
      <w:pPr>
        <w:pStyle w:val="3"/>
        <w:overflowPunct w:val="0"/>
        <w:ind w:firstLine="640"/>
      </w:pPr>
      <w:r>
        <w:t>（三）主要农作物，是指稻、小麦、玉米、棉花、大豆。</w:t>
      </w:r>
    </w:p>
    <w:p>
      <w:pPr>
        <w:pStyle w:val="3"/>
        <w:overflowPunct w:val="0"/>
        <w:ind w:firstLine="640"/>
      </w:pPr>
      <w:r>
        <w:t>（四）主要林木，是指由国务院林业主管部门确定并公布的林木品种；市园林绿化部门可以在国务院林业主管部门确定的主要林木之外依法确定其他八种以下的主要林木。</w:t>
      </w:r>
    </w:p>
    <w:p>
      <w:pPr>
        <w:pStyle w:val="3"/>
        <w:overflowPunct w:val="0"/>
        <w:ind w:firstLine="640"/>
      </w:pPr>
      <w:r>
        <w:t>（五）林木良种，是指通过审定的主要林木品种，在一定的区域内，其产量、适应性、抗性等方面明显优于当前主栽材料的繁殖材料和种植材料。</w:t>
      </w:r>
    </w:p>
    <w:p>
      <w:pPr>
        <w:pStyle w:val="3"/>
        <w:overflowPunct w:val="0"/>
        <w:ind w:firstLine="640"/>
      </w:pPr>
      <w:bookmarkStart w:id="135" w:name="tiao_92_kuan_1_xiang_6"/>
      <w:bookmarkEnd w:id="135"/>
      <w:bookmarkStart w:id="136" w:name="tiao_92_kuan_2"/>
      <w:bookmarkEnd w:id="136"/>
      <w:bookmarkStart w:id="137" w:name="tiao_92_kuan_1_xiang_4"/>
      <w:bookmarkEnd w:id="137"/>
      <w:bookmarkStart w:id="138" w:name="tiao_92_kuan_1_xiang_3"/>
      <w:bookmarkEnd w:id="138"/>
      <w:bookmarkStart w:id="139" w:name="tiao_92_kuan_3"/>
      <w:bookmarkEnd w:id="139"/>
      <w:bookmarkStart w:id="140" w:name="tiao_92_kuan_5_xiang_8"/>
      <w:bookmarkEnd w:id="140"/>
      <w:bookmarkStart w:id="141" w:name="tiao_92_kuan_5_xiang_11"/>
      <w:bookmarkEnd w:id="141"/>
      <w:bookmarkStart w:id="142" w:name="tiao_92_kuan_4"/>
      <w:bookmarkEnd w:id="142"/>
      <w:bookmarkStart w:id="143" w:name="tiao_92_kuan_1_xiang_2"/>
      <w:bookmarkEnd w:id="143"/>
      <w:bookmarkStart w:id="144" w:name="tiao_92_kuan_5_xiang_10"/>
      <w:bookmarkEnd w:id="144"/>
      <w:bookmarkStart w:id="145" w:name="tiao_92_kuan_1"/>
      <w:bookmarkEnd w:id="145"/>
      <w:bookmarkStart w:id="146" w:name="tiao_92_kuan_5"/>
      <w:bookmarkEnd w:id="146"/>
      <w:bookmarkStart w:id="147" w:name="tiao_92_kuan_5_xiang_9"/>
      <w:bookmarkEnd w:id="147"/>
      <w:bookmarkStart w:id="148" w:name="tiao_92_kuan_1_xiang_5"/>
      <w:bookmarkEnd w:id="148"/>
      <w:bookmarkStart w:id="149" w:name="tiao_92_kuan_1_xiang_1"/>
      <w:bookmarkEnd w:id="149"/>
      <w:bookmarkStart w:id="150" w:name="tiao_92_kuan_5_xiang_7"/>
      <w:bookmarkEnd w:id="150"/>
      <w:r>
        <w:rPr>
          <w:rFonts w:eastAsia="黑体"/>
        </w:rPr>
        <w:t>第五十五条　</w:t>
      </w:r>
      <w:r>
        <w:t>草种、烟草种、中药材种、食用菌菌种的种质资源管理和选育、生产经营、管理等活动，参照本条例执行。</w:t>
      </w:r>
    </w:p>
    <w:p>
      <w:pPr>
        <w:pStyle w:val="3"/>
        <w:overflowPunct w:val="0"/>
        <w:ind w:firstLine="640"/>
        <w:rPr>
          <w:rFonts w:eastAsia="方正小标宋简体"/>
          <w:sz w:val="32"/>
          <w:szCs w:val="32"/>
        </w:rPr>
      </w:pPr>
      <w:bookmarkStart w:id="151" w:name="tiao_93_kuan_1"/>
      <w:bookmarkEnd w:id="151"/>
      <w:r>
        <w:rPr>
          <w:rFonts w:eastAsia="黑体"/>
        </w:rPr>
        <w:t>第五十六条　</w:t>
      </w:r>
      <w:r>
        <w:t>本条例自2022年4月1日起施行。2006年9月15日北京市第十二届人民代表大会常务委员会第三十次会议通过，根据2018年3月30日北京市第十五届人民代表大会常务委员会第三次会议通过的《关于修改〈北京市大气污染防治条例〉等七部地方性法规的决定》修正的《北京市实施〈中华人民共和国种子法〉办法》同时废止。</w:t>
      </w:r>
      <w:bookmarkStart w:id="152" w:name="_GoBack"/>
      <w:bookmarkEnd w:id="152"/>
    </w:p>
    <w:sectPr>
      <w:footerReference r:id="rId3" w:type="default"/>
      <w:footerReference r:id="rId4" w:type="even"/>
      <w:pgSz w:w="11906" w:h="16838"/>
      <w:pgMar w:top="2098" w:right="1418" w:bottom="1871" w:left="1418" w:header="851" w:footer="1418"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Courier New">
    <w:altName w:val="DejaVu Sans"/>
    <w:panose1 w:val="02070309020205020404"/>
    <w:charset w:val="00"/>
    <w:family w:val="modern"/>
    <w:pitch w:val="default"/>
    <w:sig w:usb0="00000000" w:usb1="00000000" w:usb2="00000009" w:usb3="00000000" w:csb0="000001FF"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rPr>
        <w:sz w:val="28"/>
        <w:szCs w:val="28"/>
      </w:rPr>
    </w:pPr>
    <w:r>
      <w:rPr>
        <w:rFonts w:hint="eastAsia"/>
        <w:sz w:val="28"/>
        <w:szCs w:val="28"/>
      </w:rPr>
      <w:t>－</w:t>
    </w: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27</w:t>
    </w:r>
    <w:r>
      <w:rPr>
        <w:sz w:val="28"/>
        <w:szCs w:val="28"/>
      </w:rPr>
      <w:fldChar w:fldCharType="end"/>
    </w:r>
    <w:r>
      <w:rPr>
        <w:rFonts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sz w:val="28"/>
        <w:szCs w:val="28"/>
      </w:rPr>
    </w:pPr>
    <w:r>
      <w:rPr>
        <w:rFonts w:hint="eastAsia"/>
        <w:sz w:val="28"/>
        <w:szCs w:val="28"/>
      </w:rPr>
      <w:t>－</w:t>
    </w: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28</w:t>
    </w:r>
    <w:r>
      <w:rPr>
        <w:sz w:val="28"/>
        <w:szCs w:val="28"/>
      </w:rPr>
      <w:fldChar w:fldCharType="end"/>
    </w:r>
    <w:r>
      <w:rPr>
        <w:rFonts w:hint="eastAsia"/>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true"/>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F13"/>
    <w:rsid w:val="000069CC"/>
    <w:rsid w:val="00013E9A"/>
    <w:rsid w:val="00015D80"/>
    <w:rsid w:val="0002449B"/>
    <w:rsid w:val="0002607C"/>
    <w:rsid w:val="0006490F"/>
    <w:rsid w:val="00087F36"/>
    <w:rsid w:val="000923F8"/>
    <w:rsid w:val="00093115"/>
    <w:rsid w:val="000A1F1C"/>
    <w:rsid w:val="000A62C2"/>
    <w:rsid w:val="000B5714"/>
    <w:rsid w:val="000E297C"/>
    <w:rsid w:val="000E2B21"/>
    <w:rsid w:val="000F3CD8"/>
    <w:rsid w:val="000F6259"/>
    <w:rsid w:val="00105352"/>
    <w:rsid w:val="00135CA7"/>
    <w:rsid w:val="001454B0"/>
    <w:rsid w:val="00150DF6"/>
    <w:rsid w:val="00157F93"/>
    <w:rsid w:val="001603B6"/>
    <w:rsid w:val="001611F8"/>
    <w:rsid w:val="00183C1E"/>
    <w:rsid w:val="00194BBE"/>
    <w:rsid w:val="001B0BCE"/>
    <w:rsid w:val="001B6E42"/>
    <w:rsid w:val="001B78D5"/>
    <w:rsid w:val="001C40EC"/>
    <w:rsid w:val="001D311C"/>
    <w:rsid w:val="001D5F51"/>
    <w:rsid w:val="001E33EA"/>
    <w:rsid w:val="001E38D2"/>
    <w:rsid w:val="001E69D5"/>
    <w:rsid w:val="00216129"/>
    <w:rsid w:val="00226783"/>
    <w:rsid w:val="00227E01"/>
    <w:rsid w:val="00237631"/>
    <w:rsid w:val="00240B19"/>
    <w:rsid w:val="00260BA0"/>
    <w:rsid w:val="002635C9"/>
    <w:rsid w:val="0026478F"/>
    <w:rsid w:val="00272927"/>
    <w:rsid w:val="002764BF"/>
    <w:rsid w:val="00280BD8"/>
    <w:rsid w:val="00282A38"/>
    <w:rsid w:val="00287166"/>
    <w:rsid w:val="002937E1"/>
    <w:rsid w:val="002B2C6C"/>
    <w:rsid w:val="002D1652"/>
    <w:rsid w:val="002D7086"/>
    <w:rsid w:val="002E53C8"/>
    <w:rsid w:val="002E79E3"/>
    <w:rsid w:val="002F4597"/>
    <w:rsid w:val="00301E68"/>
    <w:rsid w:val="0030369E"/>
    <w:rsid w:val="00313FE7"/>
    <w:rsid w:val="00314B3B"/>
    <w:rsid w:val="00314F4F"/>
    <w:rsid w:val="00317942"/>
    <w:rsid w:val="00326C43"/>
    <w:rsid w:val="003305CE"/>
    <w:rsid w:val="003314D1"/>
    <w:rsid w:val="003321D3"/>
    <w:rsid w:val="00332D76"/>
    <w:rsid w:val="00342C9B"/>
    <w:rsid w:val="00352AA6"/>
    <w:rsid w:val="003670B3"/>
    <w:rsid w:val="00377F9E"/>
    <w:rsid w:val="003853EC"/>
    <w:rsid w:val="00392AFC"/>
    <w:rsid w:val="003979F2"/>
    <w:rsid w:val="003A581D"/>
    <w:rsid w:val="003C107F"/>
    <w:rsid w:val="003C46B5"/>
    <w:rsid w:val="004019C1"/>
    <w:rsid w:val="0041048F"/>
    <w:rsid w:val="00421C77"/>
    <w:rsid w:val="00427BB3"/>
    <w:rsid w:val="004425D9"/>
    <w:rsid w:val="00463CA9"/>
    <w:rsid w:val="004669B0"/>
    <w:rsid w:val="004A3F0E"/>
    <w:rsid w:val="004B46C9"/>
    <w:rsid w:val="004B6087"/>
    <w:rsid w:val="004B788D"/>
    <w:rsid w:val="004C4467"/>
    <w:rsid w:val="004D0C32"/>
    <w:rsid w:val="004E088D"/>
    <w:rsid w:val="004E261D"/>
    <w:rsid w:val="004E4CCA"/>
    <w:rsid w:val="004E664F"/>
    <w:rsid w:val="004F2C59"/>
    <w:rsid w:val="004F2F2E"/>
    <w:rsid w:val="005032B6"/>
    <w:rsid w:val="005064D0"/>
    <w:rsid w:val="0051146B"/>
    <w:rsid w:val="00511A1C"/>
    <w:rsid w:val="00512439"/>
    <w:rsid w:val="00513272"/>
    <w:rsid w:val="00521291"/>
    <w:rsid w:val="00527F13"/>
    <w:rsid w:val="00533E87"/>
    <w:rsid w:val="00541082"/>
    <w:rsid w:val="005431A3"/>
    <w:rsid w:val="00544629"/>
    <w:rsid w:val="005477FF"/>
    <w:rsid w:val="00553921"/>
    <w:rsid w:val="005633BC"/>
    <w:rsid w:val="005662AD"/>
    <w:rsid w:val="00573734"/>
    <w:rsid w:val="00574E4B"/>
    <w:rsid w:val="005750C6"/>
    <w:rsid w:val="00581EAE"/>
    <w:rsid w:val="00592583"/>
    <w:rsid w:val="005A1E17"/>
    <w:rsid w:val="005C6FDA"/>
    <w:rsid w:val="005D5E37"/>
    <w:rsid w:val="005F10C1"/>
    <w:rsid w:val="005F4714"/>
    <w:rsid w:val="005F6269"/>
    <w:rsid w:val="005F790E"/>
    <w:rsid w:val="00602DCB"/>
    <w:rsid w:val="00607F80"/>
    <w:rsid w:val="00620BC3"/>
    <w:rsid w:val="00623B60"/>
    <w:rsid w:val="00631C63"/>
    <w:rsid w:val="00633C18"/>
    <w:rsid w:val="0064355A"/>
    <w:rsid w:val="00645174"/>
    <w:rsid w:val="00651BB8"/>
    <w:rsid w:val="00657036"/>
    <w:rsid w:val="0066097D"/>
    <w:rsid w:val="006759D8"/>
    <w:rsid w:val="00677504"/>
    <w:rsid w:val="00680A95"/>
    <w:rsid w:val="00682A93"/>
    <w:rsid w:val="00690724"/>
    <w:rsid w:val="0069652A"/>
    <w:rsid w:val="006A34E3"/>
    <w:rsid w:val="006A3DE8"/>
    <w:rsid w:val="006B4DB6"/>
    <w:rsid w:val="006E5320"/>
    <w:rsid w:val="006F0472"/>
    <w:rsid w:val="0070082E"/>
    <w:rsid w:val="007152A0"/>
    <w:rsid w:val="00716DFE"/>
    <w:rsid w:val="00732E26"/>
    <w:rsid w:val="0074361D"/>
    <w:rsid w:val="007439B6"/>
    <w:rsid w:val="00744F08"/>
    <w:rsid w:val="0074796E"/>
    <w:rsid w:val="00753342"/>
    <w:rsid w:val="0076197C"/>
    <w:rsid w:val="00766DC2"/>
    <w:rsid w:val="007710B1"/>
    <w:rsid w:val="00772CFF"/>
    <w:rsid w:val="007820AA"/>
    <w:rsid w:val="00785265"/>
    <w:rsid w:val="007A43E6"/>
    <w:rsid w:val="007A6C5B"/>
    <w:rsid w:val="007D0CCF"/>
    <w:rsid w:val="007D643B"/>
    <w:rsid w:val="007D7885"/>
    <w:rsid w:val="007F1519"/>
    <w:rsid w:val="007F3258"/>
    <w:rsid w:val="007F3C35"/>
    <w:rsid w:val="00812B8C"/>
    <w:rsid w:val="00813B23"/>
    <w:rsid w:val="008317B0"/>
    <w:rsid w:val="00834513"/>
    <w:rsid w:val="008638D3"/>
    <w:rsid w:val="00863919"/>
    <w:rsid w:val="00865102"/>
    <w:rsid w:val="0087050B"/>
    <w:rsid w:val="00872113"/>
    <w:rsid w:val="0088414D"/>
    <w:rsid w:val="00884179"/>
    <w:rsid w:val="008A0662"/>
    <w:rsid w:val="008A6F11"/>
    <w:rsid w:val="008C2C0B"/>
    <w:rsid w:val="008E1F77"/>
    <w:rsid w:val="009047AD"/>
    <w:rsid w:val="009123B6"/>
    <w:rsid w:val="00916D8C"/>
    <w:rsid w:val="00922CEC"/>
    <w:rsid w:val="00931124"/>
    <w:rsid w:val="00936E8E"/>
    <w:rsid w:val="009378FE"/>
    <w:rsid w:val="009431EC"/>
    <w:rsid w:val="0094487F"/>
    <w:rsid w:val="009518DB"/>
    <w:rsid w:val="0095215B"/>
    <w:rsid w:val="00961A25"/>
    <w:rsid w:val="0096572E"/>
    <w:rsid w:val="0097124C"/>
    <w:rsid w:val="00972264"/>
    <w:rsid w:val="00980264"/>
    <w:rsid w:val="00980F15"/>
    <w:rsid w:val="0098256E"/>
    <w:rsid w:val="00996B1D"/>
    <w:rsid w:val="009A4C60"/>
    <w:rsid w:val="009A5868"/>
    <w:rsid w:val="009A5AFE"/>
    <w:rsid w:val="009A7A2E"/>
    <w:rsid w:val="009B57F9"/>
    <w:rsid w:val="009B6C1F"/>
    <w:rsid w:val="009C1575"/>
    <w:rsid w:val="009C4BC2"/>
    <w:rsid w:val="009E3D13"/>
    <w:rsid w:val="009F4C51"/>
    <w:rsid w:val="00A07387"/>
    <w:rsid w:val="00A1574F"/>
    <w:rsid w:val="00A203AE"/>
    <w:rsid w:val="00A20EC6"/>
    <w:rsid w:val="00A3118F"/>
    <w:rsid w:val="00A3338F"/>
    <w:rsid w:val="00A4135F"/>
    <w:rsid w:val="00A4314D"/>
    <w:rsid w:val="00A56526"/>
    <w:rsid w:val="00A63FF9"/>
    <w:rsid w:val="00A81397"/>
    <w:rsid w:val="00A819AC"/>
    <w:rsid w:val="00A82194"/>
    <w:rsid w:val="00AA326D"/>
    <w:rsid w:val="00AA6BE8"/>
    <w:rsid w:val="00AB0E7E"/>
    <w:rsid w:val="00AB34C2"/>
    <w:rsid w:val="00AC588A"/>
    <w:rsid w:val="00AD510D"/>
    <w:rsid w:val="00AE563B"/>
    <w:rsid w:val="00AF04D6"/>
    <w:rsid w:val="00AF6858"/>
    <w:rsid w:val="00B002F6"/>
    <w:rsid w:val="00B0071B"/>
    <w:rsid w:val="00B0197F"/>
    <w:rsid w:val="00B14054"/>
    <w:rsid w:val="00B22ED7"/>
    <w:rsid w:val="00B341C8"/>
    <w:rsid w:val="00B36656"/>
    <w:rsid w:val="00B52595"/>
    <w:rsid w:val="00B54BEC"/>
    <w:rsid w:val="00B579A4"/>
    <w:rsid w:val="00B60CC1"/>
    <w:rsid w:val="00B626BB"/>
    <w:rsid w:val="00B662F4"/>
    <w:rsid w:val="00B74363"/>
    <w:rsid w:val="00B76F54"/>
    <w:rsid w:val="00B77E14"/>
    <w:rsid w:val="00B8045E"/>
    <w:rsid w:val="00B927FC"/>
    <w:rsid w:val="00B94D29"/>
    <w:rsid w:val="00BA7F2D"/>
    <w:rsid w:val="00BB7158"/>
    <w:rsid w:val="00BB7224"/>
    <w:rsid w:val="00BC4E25"/>
    <w:rsid w:val="00BD5A4D"/>
    <w:rsid w:val="00BE202A"/>
    <w:rsid w:val="00BF7908"/>
    <w:rsid w:val="00C04039"/>
    <w:rsid w:val="00C04634"/>
    <w:rsid w:val="00C04A39"/>
    <w:rsid w:val="00C05DD5"/>
    <w:rsid w:val="00C07708"/>
    <w:rsid w:val="00C10AE6"/>
    <w:rsid w:val="00C10CED"/>
    <w:rsid w:val="00C137F9"/>
    <w:rsid w:val="00C243EB"/>
    <w:rsid w:val="00C479BD"/>
    <w:rsid w:val="00C50320"/>
    <w:rsid w:val="00C54AB5"/>
    <w:rsid w:val="00C6639C"/>
    <w:rsid w:val="00C70F5F"/>
    <w:rsid w:val="00C74F1A"/>
    <w:rsid w:val="00C7737F"/>
    <w:rsid w:val="00C94731"/>
    <w:rsid w:val="00CC03B7"/>
    <w:rsid w:val="00CC2D41"/>
    <w:rsid w:val="00CC6A10"/>
    <w:rsid w:val="00CD5C30"/>
    <w:rsid w:val="00CD688F"/>
    <w:rsid w:val="00CF6D6A"/>
    <w:rsid w:val="00D04347"/>
    <w:rsid w:val="00D30268"/>
    <w:rsid w:val="00D42889"/>
    <w:rsid w:val="00D46163"/>
    <w:rsid w:val="00D467DB"/>
    <w:rsid w:val="00D46D9A"/>
    <w:rsid w:val="00D56B23"/>
    <w:rsid w:val="00D725C7"/>
    <w:rsid w:val="00D97D11"/>
    <w:rsid w:val="00DA2107"/>
    <w:rsid w:val="00DA72CE"/>
    <w:rsid w:val="00DC76DB"/>
    <w:rsid w:val="00DD02F6"/>
    <w:rsid w:val="00DD0C9D"/>
    <w:rsid w:val="00DD652B"/>
    <w:rsid w:val="00DF1670"/>
    <w:rsid w:val="00E043D4"/>
    <w:rsid w:val="00E11417"/>
    <w:rsid w:val="00E13F2D"/>
    <w:rsid w:val="00E22560"/>
    <w:rsid w:val="00E254A9"/>
    <w:rsid w:val="00E25B37"/>
    <w:rsid w:val="00E261DB"/>
    <w:rsid w:val="00E45B4B"/>
    <w:rsid w:val="00E60F24"/>
    <w:rsid w:val="00E65EB6"/>
    <w:rsid w:val="00E71B68"/>
    <w:rsid w:val="00E75AC4"/>
    <w:rsid w:val="00E767EB"/>
    <w:rsid w:val="00E779E8"/>
    <w:rsid w:val="00E84E2C"/>
    <w:rsid w:val="00E86E91"/>
    <w:rsid w:val="00E917F5"/>
    <w:rsid w:val="00E91CE5"/>
    <w:rsid w:val="00E93992"/>
    <w:rsid w:val="00EB04D7"/>
    <w:rsid w:val="00EB40E1"/>
    <w:rsid w:val="00EC4E3C"/>
    <w:rsid w:val="00ED68A3"/>
    <w:rsid w:val="00EE5ADA"/>
    <w:rsid w:val="00EF296D"/>
    <w:rsid w:val="00EF7F45"/>
    <w:rsid w:val="00F029A5"/>
    <w:rsid w:val="00F03E27"/>
    <w:rsid w:val="00F072A2"/>
    <w:rsid w:val="00F33C18"/>
    <w:rsid w:val="00F50675"/>
    <w:rsid w:val="00F75EBB"/>
    <w:rsid w:val="00F82151"/>
    <w:rsid w:val="00FB0D05"/>
    <w:rsid w:val="00FC15E0"/>
    <w:rsid w:val="00FC7F2B"/>
    <w:rsid w:val="00FD4116"/>
    <w:rsid w:val="00FD63D1"/>
    <w:rsid w:val="00FD75B1"/>
    <w:rsid w:val="00FE4AA0"/>
    <w:rsid w:val="00FF2EAA"/>
    <w:rsid w:val="00FF4863"/>
    <w:rsid w:val="396F0F50"/>
    <w:rsid w:val="5F9A22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widowControl/>
      <w:spacing w:before="100" w:beforeAutospacing="1" w:after="100" w:afterAutospacing="1"/>
      <w:jc w:val="left"/>
      <w:outlineLvl w:val="0"/>
    </w:pPr>
    <w:rPr>
      <w:rFonts w:ascii="宋体" w:hAnsi="宋体" w:cs="宋体"/>
      <w:kern w:val="36"/>
      <w:sz w:val="24"/>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Normal Indent"/>
    <w:basedOn w:val="1"/>
    <w:unhideWhenUsed/>
    <w:qFormat/>
    <w:uiPriority w:val="0"/>
    <w:pPr>
      <w:spacing w:line="580" w:lineRule="exact"/>
      <w:ind w:firstLine="420" w:firstLineChars="200"/>
    </w:pPr>
    <w:rPr>
      <w:rFonts w:eastAsia="仿宋_GB2312"/>
      <w:sz w:val="32"/>
      <w:szCs w:val="32"/>
    </w:rPr>
  </w:style>
  <w:style w:type="paragraph" w:styleId="4">
    <w:name w:val="Body Text Indent"/>
    <w:basedOn w:val="1"/>
    <w:link w:val="13"/>
    <w:qFormat/>
    <w:uiPriority w:val="0"/>
    <w:pPr>
      <w:spacing w:line="580" w:lineRule="exact"/>
      <w:ind w:firstLine="645"/>
    </w:pPr>
    <w:rPr>
      <w:rFonts w:ascii="仿宋_GB2312" w:eastAsia="仿宋_GB2312"/>
      <w:sz w:val="32"/>
      <w:szCs w:val="20"/>
    </w:rPr>
  </w:style>
  <w:style w:type="paragraph" w:styleId="5">
    <w:name w:val="Plain Text"/>
    <w:basedOn w:val="1"/>
    <w:link w:val="15"/>
    <w:qFormat/>
    <w:uiPriority w:val="99"/>
    <w:rPr>
      <w:rFonts w:ascii="宋体" w:hAnsi="Courier New" w:cs="宋体"/>
      <w:kern w:val="0"/>
      <w:sz w:val="20"/>
      <w:szCs w:val="20"/>
    </w:rPr>
  </w:style>
  <w:style w:type="paragraph" w:styleId="6">
    <w:name w:val="Balloon Text"/>
    <w:basedOn w:val="1"/>
    <w:link w:val="14"/>
    <w:qFormat/>
    <w:uiPriority w:val="0"/>
    <w:rPr>
      <w:sz w:val="18"/>
      <w:szCs w:val="18"/>
    </w:rPr>
  </w:style>
  <w:style w:type="paragraph" w:styleId="7">
    <w:name w:val="footer"/>
    <w:basedOn w:val="1"/>
    <w:link w:val="17"/>
    <w:qFormat/>
    <w:uiPriority w:val="99"/>
    <w:pPr>
      <w:tabs>
        <w:tab w:val="center" w:pos="4153"/>
        <w:tab w:val="right" w:pos="8306"/>
      </w:tabs>
      <w:snapToGrid w:val="0"/>
      <w:jc w:val="left"/>
    </w:pPr>
    <w:rPr>
      <w:sz w:val="18"/>
      <w:szCs w:val="18"/>
    </w:rPr>
  </w:style>
  <w:style w:type="paragraph" w:styleId="8">
    <w:name w:val="header"/>
    <w:basedOn w:val="1"/>
    <w:link w:val="16"/>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0"/>
    <w:pPr>
      <w:spacing w:beforeAutospacing="1" w:afterAutospacing="1" w:line="580" w:lineRule="exact"/>
      <w:jc w:val="left"/>
    </w:pPr>
    <w:rPr>
      <w:rFonts w:ascii="Calibri" w:hAnsi="Calibri"/>
      <w:kern w:val="0"/>
      <w:sz w:val="24"/>
    </w:rPr>
  </w:style>
  <w:style w:type="character" w:styleId="12">
    <w:name w:val="page number"/>
    <w:basedOn w:val="11"/>
    <w:qFormat/>
    <w:uiPriority w:val="0"/>
  </w:style>
  <w:style w:type="character" w:customStyle="1" w:styleId="13">
    <w:name w:val="正文文本缩进 Char"/>
    <w:link w:val="4"/>
    <w:qFormat/>
    <w:uiPriority w:val="0"/>
    <w:rPr>
      <w:rFonts w:ascii="仿宋_GB2312" w:eastAsia="仿宋_GB2312"/>
      <w:kern w:val="2"/>
      <w:sz w:val="32"/>
    </w:rPr>
  </w:style>
  <w:style w:type="character" w:customStyle="1" w:styleId="14">
    <w:name w:val="批注框文本 Char"/>
    <w:link w:val="6"/>
    <w:qFormat/>
    <w:uiPriority w:val="0"/>
    <w:rPr>
      <w:kern w:val="2"/>
      <w:sz w:val="18"/>
      <w:szCs w:val="18"/>
    </w:rPr>
  </w:style>
  <w:style w:type="character" w:customStyle="1" w:styleId="15">
    <w:name w:val="纯文本 Char"/>
    <w:link w:val="5"/>
    <w:qFormat/>
    <w:uiPriority w:val="99"/>
    <w:rPr>
      <w:rFonts w:ascii="宋体" w:hAnsi="Courier New" w:cs="宋体"/>
    </w:rPr>
  </w:style>
  <w:style w:type="character" w:customStyle="1" w:styleId="16">
    <w:name w:val="页眉 Char"/>
    <w:link w:val="8"/>
    <w:qFormat/>
    <w:uiPriority w:val="0"/>
    <w:rPr>
      <w:kern w:val="2"/>
      <w:sz w:val="18"/>
      <w:szCs w:val="18"/>
    </w:rPr>
  </w:style>
  <w:style w:type="character" w:customStyle="1" w:styleId="17">
    <w:name w:val="页脚 Char"/>
    <w:link w:val="7"/>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bjrd</Company>
  <Pages>52</Pages>
  <Words>24550</Words>
  <Characters>637</Characters>
  <Lines>5</Lines>
  <Paragraphs>50</Paragraphs>
  <TotalTime>100</TotalTime>
  <ScaleCrop>false</ScaleCrop>
  <LinksUpToDate>false</LinksUpToDate>
  <CharactersWithSpaces>25137</CharactersWithSpaces>
  <Application>WPS Office_11.8.2.10386_F1E327BC-269C-435d-A152-05C5408002CA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2022-01-09T14:31:00Z</dcterms:created>
  <dc:creator>bjrd</dc:creator>
  <cp:lastModifiedBy>bjrd</cp:lastModifiedBy>
  <cp:lastPrinted>2022-01-09T15:48:00Z</cp:lastPrinted>
  <dcterms:modified xsi:type="dcterms:W3CDTF">2022-01-20T15:49:23Z</dcterms:modified>
  <dc:title>北京市人民代表大会法制委员会关于《北京市全民健身条例(草案)》审议结果的报告</dc:title>
  <cp:revision>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2052-11.8.2.10386</vt:lpwstr>
  </property>
</Properties>
</file>