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吉林市水土保持条例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（1994年8月25日吉林市第十一届人民代表大会常务委员会第十一次会议通过　1994年9月26日吉林省第八届人民代表大会常务委员会第十二次会议批准　1997年5月29日吉林市第十一届人民代表大会常务委员会第三十次会议修改　1997年7月25日吉林省第八届人民代表大会常务委员会第三十二次会议批准　2010年9月27日吉林市第十四届人大常委会第二十次会议修订　2017年6月1日吉林市第十六届人民代表大会常务委员会第五次会议修改　2017年7月28日吉林省第十二届人民代表大会常务委员会第三十六次会议批准）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预防和治理水土流失，保护和合理利用水土资源，减轻自然灾害，改善生态环境，发展生产，根据《中华人民共和国水土保持法》、《中华人民共和国水土保持法实施条例》和《吉林省水土保持条例》，结合我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本条例所称水土流失是指各种自然因素和人为因素造成的水土资源、地表植被的破坏和损失。水土保持是指对水土流失所采取的预</w:t>
      </w:r>
      <w:bookmarkStart w:id="0" w:name="_GoBack"/>
      <w:bookmarkEnd w:id="0"/>
      <w:r>
        <w:rPr>
          <w:rFonts w:ascii="仿宋_GB2312" w:hAnsi="仿宋_GB2312" w:eastAsia="仿宋_GB2312"/>
          <w:sz w:val="32"/>
        </w:rPr>
        <w:t>防和治理措施。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凡在本市行政区域内的单位和个人，均须遵守本条例。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水土保持工作实行预防为主，全面规划，综合防治，因地制宜，加强管理，注重效益的方针。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水土保持工作坚持统一管理、共同防治和谁造成水土流失谁负责治理的原则。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市、县（市）、区人民政府水行政主管部门是本辖区水土保持工作的主管部门，按分工负责本辖区水土保持工作。其主要职责是：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（一）宣传贯彻有关水土保持的法律、法规、规章和政策；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（二）制定水土保持规划并组织实施；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（三）开展水土保持的科学研究，普及水土保持科学知识；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（四）预防与组织治理水土流失；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（五）监督和协调水土保持工作；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（六）负责查处违反水土保持法律、法规和规章的行为。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日常工作由本级水土保持机构负责。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各级农业、林业、土地、畜牧、城建、环保、交通、矿管等有关部门应按各自职责分工协同水行政主管部门做好水土保持工作。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市城市规划区的水土保持工作实行市水行政主管部门统一管理与市、区水行政主管部门分工负责相结合的管理方式。具体分工由市人民政府作出规定。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市、县（市）、区人民政府必须将水土保持工作列为重要职责，采取措施做好水土流失防治工作。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依据水土流失的具体情况，组织制定水土保持规划，划定并公告水土流失重点防治区（包括重点预防保护区、重点监督区和重点治理区）。应当将水土保持规划确定的任务纳入国民经济和社会发展计划，安排专项资金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各级人民政府每年都应安排一定数额的水土保持资金，并要在小型农田水利补助费中提取百分之二十用于水土保持。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各级人民政府应组织全民植树种草，增加植被，保持水土，涵养水源，防治水土流失。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各机关、团体、部队、学校、企事业单位和农村集体经济组织应加强水土保持的宣传和教育，增强水土保持意识，并有计划地植树种草、美化环境，防治水土流失。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农、林、牧场和农村集体经济组织，积极营造水土保持林、水源涵养林、防风固沙林、农田防护林等，防治水土流失。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在水力侵蚀地区，应以天然沟土及其两侧山坡形成的小流域为单元，实行全面规划，采取生物措施和工程措施进行山、水、林、田、路综合治理，建立水土流失综合防治体系。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对于水土流失危害严重的江河，应由县级以上人民政府水行政主管部门制定治理规划，由各级人民政府按分工组织限期治理。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蓄水工程上游、两岸和江河、湖泊沿岸第一层山脊以内的坡面应有计划地植树种草，提高森林覆盖率，减少暴雨径流。在上述区域内，不得擅自进行开垦荒地、采伐林木、建筑房屋、开采矿藏等活动。确需进行上述活动的，必须经县级以上人民政府水行政主管部门批准，办理有关手续后，方可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在风力侵蚀地区，应营造网格林带，设置人工沙障等防风固沙体系，保护水土资源。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开垦五度以上二十度以下农村集体经济组织所有的荒坡地，必须经县级人民政府水行政主管部门批准。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开垦国有荒坡地，经县级人民政府水行政主管部门审核同意，方可向县级以上人民政府申请办理土地开垦手续。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五度以上二十度以下的坡耕地，应采取修筑梯田、串植物带、挖筑环山截水沟等措施防止水土流失。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冲刷沟内须修筑谷坊，进行沟头防护。边坡应采取植物护坡或其他工程措施防治水土流失。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禁止开垦二十度以上的陡坡地。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现有二十至二十五度陡坡耕地，应当在建设基本农田的基础上，根据实际情况，采取有效的水土保持措施。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现有二十五度以上陡坡耕地，须在本条例实施后二年内退耕还林。特殊情况需继续耕种的，须经县级以上人民政府水行政主管部门会同有关部门核准，并采取修筑梯田或其他水土保持措施后，方可耕种。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集体所有的土地承包给个人使用的，应将防治水土流失责任列入承包合同。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水土流失重点防治区内集体所有荒山、荒地、荒坡、荒滩，农村集体经济组织应组织进行水土流失治理。承包、拍卖给个人使用的，必须按水行政主管部门的治理规划限期治理。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对采伐区和集材道，应采取防止水土流失措施，并在采伐后两年内完成更新造林任务。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水源涵养林、水土保持林、防风固沙林等防护林只准进行抚育和更新性质的采伐，严禁主伐和皆伐；采伐后无法更新地带的林木，不得采伐。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在林区采伐林木，必须制定水土保持方案，并由水行政主管部门和林业行政主管部门监督实施。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在水土流失重点防治区修建铁路、公路、水工程，开办矿山企业、电力企业和其他大中型工业企业，在建设项目环境影响报告书中必须有经水行政主管部门审查同意的水土保持方案。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建设项目中的水土保持设施，必须与主体工程同时设计、同时施工、同时竣工使用。建设工程竣工验收时，应当同时验收水土保持设施，并有水行政主管部门参加。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水土流失重点防治区，依法开办集体矿山企业和个体采矿，必须填写“水土保持方案报告表”，经县级以上人民政府水行政主管部门同意后，方可申请办理采矿批准手续，并按水土保持方案限期恢复植被和治理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修建工程、开办工矿企业及其他各类生产建设活动，应尽量减少植被破坏；废弃的砂、石、土料及剥离的表土、尾矿、矸石、废渣等必须堆放在规定的专门存放地，不得随意倾倒和堆放；因建设和采矿使植被采到破坏的，必须采取措施恢复表土层和植被，防止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跨县（市）、区修建工程涉及水土保持的须经市水行政主管部门审查同意。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禁止任何单位和个人在下列地方开荒、挖砂、采石、取土：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（一）易造成水土流失的坡地；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（二）沟壑边坡、沟头上部、江河两岸容易造成水土流失地带以及湖泊和水库周边地带；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（三）易发生山崩、滑坡、塌方地段；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（四）其他易造成水土流失危害的地区。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县级以上人民政府要组织力量调查与划定禁止开荒和挖砂、采石、取土的具体范围，并予以公告。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禁止任何单位和个人破坏梯田、沟头防护、水土保持林草及苗圃、水土保持科学试验示范场地等水土保持设施。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单位和个人在建设和生产过程中破坏地表植被、改变原有地貌特征，降低或丧失原有水土保持功能的，均须按剥离面积、占用面积和压没面积缴纳水土流失补偿费。同时必须负责治理。无能力治理的，由水行政主管部门负责治理。治理费由造成水土流失的单位或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补偿费标准按省人民政府有关规定执行。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补偿费和治理费应专户存储，全部用于水土流失的预防和治理，任何单位和个人不得挪用。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县级以上人民政府水行政主管部门的水土保持监督管理人员，有权随时对本辖区的水土流失及防治情况进行现场检查和处理。被检查单位和个人必须如实报告。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水土保持监督管理人员在依法执行公务时，必须佩戴明显标志和持有县级以上人民政府颁发的水土保持监督检查证件。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对模范遵守本条例，在水土保持工作中做出突出贡献的单位和个人，由县级以上人民政府给予表彰和奖励。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违反本条例的，由水行政主管部门或会同有关部门按下列规定处罚。构成犯罪的，依法追究刑事责任。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第十二条、第十四条规定的，责令其停止违法行为，采取补救措施，未经批准擅自开垦荒坡地的，按开垦荒坡地面积处以每平方米零点五元至一元罚款；在禁止开垦陡坡地进行开垦的，按非法开垦陡坡地面积处以每平方米一元至二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（二）违反第十七条规定，未按规定采伐林木造成水土流失的，由水行政主管部门报请县级以上人民政府决定，责令其限期改正，采取补救措施，并按其水土流失面积处以每平方米二元至五元罚款。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（三）违反第十九条规定，企业事业单位在建设和生产过程中造成水土流失，不采取措施进行治理的，责令停业治理，并处以一千元至一万元罚款。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（四）违反第二十条规定，在修建工程和各类生产活动中，随意倾倒垃圾、堆放物料和废弃物，造成植被破坏的，除责令限期治理和恢复原貌外，并处一千元至一万元罚款。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（五）违反第二十二条规定，在易发生山崩、滑坡、塌方地段范围内取土、挖砂、采石的，责令停止违法行为，采取补救措施，并处以五百元至五千元罚款。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（六）违反第二十三条规定，破坏和侵占水土保持设施和场地的，责令其恢复原状并赔偿损失，尚未构成犯罪的，按《中华人民共和国治安管理处罚法》的有关规定予以处罚。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（七）违反第二十四条规定，逾期不缴纳水土流失补偿费，按每日千分之三计收滞纳金。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当事人对行政处罚不服的，可在接到处罚决定之日起十五日内向作出处罚决定的上一级机关申请复议；也可在接到处罚决定之日起十五日内直接向人民法院起诉。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复议机关应在接到复议申请之日起六十日内作出复议决定。当事人对复议决定不服的，可在接到复议决定书之日起十五日内向人民法院起诉。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当事人逾期不申请复议也不向人民法院起诉，又不履行处罚决定的，作出处罚决定的机关可以申请人民法院强制执行。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任何单位和个人不得妨碍水土保持监督管理人员依法执行公务。以暴力、威胁手段阻碍水土保持监督管理人员执行公务的，依照《中华人民共和国治安管理处罚法》处罚；构成犯罪的，依法追究刑事责任。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水土保持监督管理人员应守职尽责，模范遵守本条例。对不认真履行职责、滥用职权、违法渎职的，视其情节，由水行政主管部门给予行政处分或经济处罚；构成犯罪的，依法追究刑事责任。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AB023EA"/>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2023-11-07T10:30:14Z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