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1499" w:tblpY="156"/>
        <w:tblOverlap w:val="never"/>
        <w:tblW w:w="8922" w:type="dxa"/>
        <w:tblCellSpacing w:w="15" w:type="dxa"/>
        <w:tblLayout w:type="fixed"/>
        <w:tblCellMar>
          <w:top w:w="15" w:type="dxa"/>
          <w:left w:w="15" w:type="dxa"/>
          <w:bottom w:w="15" w:type="dxa"/>
          <w:right w:w="15" w:type="dxa"/>
        </w:tblCellMar>
        <w:tblLook w:val="04A0"/>
      </w:tblPr>
      <w:tblGrid>
        <w:gridCol w:w="8922"/>
      </w:tblGrid>
      <w:tr w:rsidR="00433A6A">
        <w:trPr>
          <w:trHeight w:val="375"/>
          <w:tblCellSpacing w:w="15" w:type="dxa"/>
        </w:trPr>
        <w:tc>
          <w:tcPr>
            <w:tcW w:w="8862" w:type="dxa"/>
            <w:vAlign w:val="center"/>
          </w:tcPr>
          <w:p w:rsidR="00433A6A" w:rsidRDefault="00433A6A">
            <w:pPr>
              <w:adjustRightInd/>
              <w:snapToGrid/>
              <w:spacing w:after="0" w:line="300" w:lineRule="auto"/>
              <w:jc w:val="center"/>
              <w:rPr>
                <w:rFonts w:asciiTheme="majorEastAsia" w:eastAsiaTheme="majorEastAsia" w:hAnsiTheme="majorEastAsia" w:cstheme="majorEastAsia"/>
              </w:rPr>
            </w:pPr>
          </w:p>
          <w:p w:rsidR="00433A6A" w:rsidRDefault="00433A6A">
            <w:pPr>
              <w:adjustRightInd/>
              <w:snapToGrid/>
              <w:spacing w:after="0" w:line="300" w:lineRule="auto"/>
              <w:jc w:val="center"/>
              <w:rPr>
                <w:rFonts w:asciiTheme="majorEastAsia" w:eastAsiaTheme="majorEastAsia" w:hAnsiTheme="majorEastAsia" w:cstheme="majorEastAsia"/>
                <w:sz w:val="44"/>
                <w:szCs w:val="44"/>
              </w:rPr>
            </w:pPr>
          </w:p>
          <w:p w:rsidR="00433A6A" w:rsidRDefault="00232F2E">
            <w:pPr>
              <w:adjustRightInd/>
              <w:snapToGrid/>
              <w:spacing w:after="0" w:line="300" w:lineRule="auto"/>
              <w:jc w:val="center"/>
              <w:rPr>
                <w:rFonts w:ascii="仿宋" w:hAnsi="仿宋" w:cs="仿宋"/>
              </w:rPr>
            </w:pPr>
            <w:r>
              <w:rPr>
                <w:rFonts w:asciiTheme="majorEastAsia" w:eastAsiaTheme="majorEastAsia" w:hAnsiTheme="majorEastAsia" w:cstheme="majorEastAsia" w:hint="eastAsia"/>
                <w:sz w:val="44"/>
                <w:szCs w:val="44"/>
              </w:rPr>
              <w:t>吉林省促进科技成果转化条例</w:t>
            </w:r>
            <w:r>
              <w:rPr>
                <w:rFonts w:ascii="仿宋" w:hAnsi="仿宋" w:cs="仿宋" w:hint="eastAsia"/>
                <w:sz w:val="44"/>
                <w:szCs w:val="44"/>
              </w:rPr>
              <w:t xml:space="preserve">　</w:t>
            </w:r>
          </w:p>
        </w:tc>
      </w:tr>
      <w:tr w:rsidR="00433A6A">
        <w:trPr>
          <w:trHeight w:val="375"/>
          <w:tblCellSpacing w:w="15" w:type="dxa"/>
        </w:trPr>
        <w:tc>
          <w:tcPr>
            <w:tcW w:w="8862" w:type="dxa"/>
            <w:vAlign w:val="center"/>
          </w:tcPr>
          <w:p w:rsidR="00433A6A" w:rsidRDefault="00433A6A">
            <w:pPr>
              <w:adjustRightInd/>
              <w:snapToGrid/>
              <w:spacing w:after="0" w:line="300" w:lineRule="auto"/>
              <w:ind w:firstLine="480"/>
              <w:rPr>
                <w:rFonts w:ascii="仿宋" w:hAnsi="仿宋" w:cs="仿宋"/>
              </w:rPr>
            </w:pPr>
          </w:p>
          <w:p w:rsidR="00433A6A" w:rsidRDefault="00232F2E" w:rsidP="00D51DB8">
            <w:pPr>
              <w:adjustRightInd/>
              <w:snapToGrid/>
              <w:spacing w:after="0" w:line="300" w:lineRule="auto"/>
              <w:ind w:left="638" w:rightChars="200" w:right="632" w:hangingChars="202" w:hanging="638"/>
              <w:jc w:val="both"/>
              <w:rPr>
                <w:rFonts w:asciiTheme="minorEastAsia" w:eastAsiaTheme="minorEastAsia" w:hAnsiTheme="minorEastAsia" w:cstheme="minorEastAsia"/>
              </w:rPr>
            </w:pPr>
            <w:r>
              <w:rPr>
                <w:rFonts w:ascii="楷体" w:eastAsia="楷体" w:hAnsi="楷体" w:cs="楷体" w:hint="eastAsia"/>
              </w:rPr>
              <w:t xml:space="preserve">　　（1999年5月28日吉林省第九届人民代表大会常务委员会第十次会议通过　根据2001年1月12日吉林省第九届人民代表大会常务委员会公告第56号令《吉林省人民政府关于提请废止5件地方性法规、取消27件地方性法规中60项行政管理项目的议案》修改　根据2001年9月29日吉</w:t>
            </w:r>
            <w:r w:rsidR="00D51DB8">
              <w:rPr>
                <w:rFonts w:ascii="楷体" w:eastAsia="楷体" w:hAnsi="楷体" w:cs="楷体" w:hint="eastAsia"/>
              </w:rPr>
              <w:t>九届人民代</w:t>
            </w:r>
            <w:r>
              <w:rPr>
                <w:rFonts w:ascii="楷体" w:eastAsia="楷体" w:hAnsi="楷体" w:cs="楷体" w:hint="eastAsia"/>
              </w:rPr>
              <w:t>林省第表大会常务委员会</w:t>
            </w:r>
            <w:r w:rsidR="00D51DB8">
              <w:rPr>
                <w:rFonts w:ascii="楷体" w:eastAsia="楷体" w:hAnsi="楷体" w:cs="楷体" w:hint="eastAsia"/>
              </w:rPr>
              <w:t>第二十六次会议</w:t>
            </w:r>
            <w:r>
              <w:rPr>
                <w:rFonts w:ascii="楷体" w:eastAsia="楷体" w:hAnsi="楷体" w:cs="楷体" w:hint="eastAsia"/>
              </w:rPr>
              <w:t>公告第72号令《吉林省人民代表大会常务委员会关于修改&lt;吉林省农村集体资产管理条例&gt;等10部地方性法规的决定》第二次修改）</w:t>
            </w:r>
          </w:p>
        </w:tc>
      </w:tr>
      <w:tr w:rsidR="00433A6A">
        <w:trPr>
          <w:trHeight w:val="375"/>
          <w:tblCellSpacing w:w="15" w:type="dxa"/>
        </w:trPr>
        <w:tc>
          <w:tcPr>
            <w:tcW w:w="8862" w:type="dxa"/>
            <w:vAlign w:val="center"/>
          </w:tcPr>
          <w:p w:rsidR="00433A6A" w:rsidRDefault="00433A6A" w:rsidP="005F6870">
            <w:pPr>
              <w:snapToGrid/>
              <w:spacing w:after="0" w:line="300" w:lineRule="auto"/>
              <w:ind w:rightChars="-10" w:right="-32" w:firstLine="480"/>
              <w:jc w:val="center"/>
              <w:rPr>
                <w:rFonts w:ascii="楷体" w:eastAsia="楷体" w:hAnsi="楷体" w:cs="楷体"/>
              </w:rPr>
            </w:pPr>
          </w:p>
          <w:p w:rsidR="00433A6A" w:rsidRDefault="00232F2E" w:rsidP="005F6870">
            <w:pPr>
              <w:snapToGrid/>
              <w:spacing w:after="0" w:line="300" w:lineRule="auto"/>
              <w:ind w:rightChars="-10" w:right="-32" w:firstLine="480"/>
              <w:jc w:val="center"/>
              <w:rPr>
                <w:rFonts w:ascii="楷体" w:eastAsia="楷体" w:hAnsi="楷体" w:cs="楷体"/>
              </w:rPr>
            </w:pPr>
            <w:r>
              <w:rPr>
                <w:rFonts w:ascii="楷体" w:eastAsia="楷体" w:hAnsi="楷体" w:cs="楷体" w:hint="eastAsia"/>
              </w:rPr>
              <w:t>目  录</w:t>
            </w:r>
          </w:p>
          <w:p w:rsidR="00433A6A" w:rsidRDefault="00232F2E" w:rsidP="005F6870">
            <w:pPr>
              <w:snapToGrid/>
              <w:spacing w:after="0" w:line="300" w:lineRule="auto"/>
              <w:ind w:rightChars="-10" w:right="-32"/>
              <w:rPr>
                <w:rFonts w:ascii="楷体" w:eastAsia="楷体" w:hAnsi="楷体" w:cs="楷体"/>
              </w:rPr>
            </w:pPr>
            <w:r>
              <w:rPr>
                <w:rFonts w:ascii="楷体" w:eastAsia="楷体" w:hAnsi="楷体" w:cs="楷体" w:hint="eastAsia"/>
              </w:rPr>
              <w:t xml:space="preserve">    第一章　总则</w:t>
            </w:r>
          </w:p>
          <w:p w:rsidR="00433A6A" w:rsidRDefault="00232F2E" w:rsidP="005F6870">
            <w:pPr>
              <w:snapToGrid/>
              <w:spacing w:after="0" w:line="300" w:lineRule="auto"/>
              <w:ind w:rightChars="-10" w:right="-32" w:firstLine="631"/>
              <w:rPr>
                <w:rFonts w:ascii="楷体" w:eastAsia="楷体" w:hAnsi="楷体" w:cs="楷体"/>
              </w:rPr>
            </w:pPr>
            <w:r>
              <w:rPr>
                <w:rFonts w:ascii="楷体" w:eastAsia="楷体" w:hAnsi="楷体" w:cs="楷体" w:hint="eastAsia"/>
              </w:rPr>
              <w:t xml:space="preserve">第二章　组织实施　　</w:t>
            </w:r>
          </w:p>
          <w:p w:rsidR="00433A6A" w:rsidRDefault="00232F2E" w:rsidP="005F6870">
            <w:pPr>
              <w:snapToGrid/>
              <w:spacing w:after="0" w:line="300" w:lineRule="auto"/>
              <w:ind w:rightChars="-10" w:right="-32" w:firstLine="631"/>
              <w:rPr>
                <w:rFonts w:ascii="楷体" w:eastAsia="楷体" w:hAnsi="楷体" w:cs="楷体"/>
              </w:rPr>
            </w:pPr>
            <w:r>
              <w:rPr>
                <w:rFonts w:ascii="楷体" w:eastAsia="楷体" w:hAnsi="楷体" w:cs="楷体" w:hint="eastAsia"/>
              </w:rPr>
              <w:t>第三章　保障措施</w:t>
            </w:r>
          </w:p>
          <w:p w:rsidR="00433A6A" w:rsidRDefault="00232F2E" w:rsidP="005F6870">
            <w:pPr>
              <w:snapToGrid/>
              <w:spacing w:after="0" w:line="300" w:lineRule="auto"/>
              <w:ind w:rightChars="-10" w:right="-32"/>
              <w:rPr>
                <w:rFonts w:ascii="楷体" w:eastAsia="楷体" w:hAnsi="楷体" w:cs="楷体"/>
              </w:rPr>
            </w:pPr>
            <w:r>
              <w:rPr>
                <w:rFonts w:ascii="楷体" w:eastAsia="楷体" w:hAnsi="楷体" w:cs="楷体" w:hint="eastAsia"/>
              </w:rPr>
              <w:t xml:space="preserve">　　第四章　优惠与奖励</w:t>
            </w:r>
          </w:p>
          <w:p w:rsidR="00433A6A" w:rsidRDefault="00232F2E" w:rsidP="005F6870">
            <w:pPr>
              <w:snapToGrid/>
              <w:spacing w:after="0" w:line="300" w:lineRule="auto"/>
              <w:ind w:rightChars="-10" w:right="-32" w:firstLine="631"/>
              <w:rPr>
                <w:rFonts w:ascii="楷体" w:eastAsia="楷体" w:hAnsi="楷体" w:cs="楷体"/>
              </w:rPr>
            </w:pPr>
            <w:r>
              <w:rPr>
                <w:rFonts w:ascii="楷体" w:eastAsia="楷体" w:hAnsi="楷体" w:cs="楷体" w:hint="eastAsia"/>
              </w:rPr>
              <w:t>第五章　法律责任</w:t>
            </w:r>
          </w:p>
          <w:p w:rsidR="00433A6A" w:rsidRDefault="00232F2E" w:rsidP="005F6870">
            <w:pPr>
              <w:snapToGrid/>
              <w:spacing w:after="0" w:line="300" w:lineRule="auto"/>
              <w:ind w:rightChars="-10" w:right="-32" w:firstLine="631"/>
              <w:rPr>
                <w:rFonts w:ascii="楷体" w:eastAsia="楷体" w:hAnsi="楷体" w:cs="楷体"/>
              </w:rPr>
            </w:pPr>
            <w:r>
              <w:rPr>
                <w:rFonts w:ascii="楷体" w:eastAsia="楷体" w:hAnsi="楷体" w:cs="楷体" w:hint="eastAsia"/>
              </w:rPr>
              <w:t>第六章　附则</w:t>
            </w:r>
          </w:p>
          <w:p w:rsidR="00433A6A" w:rsidRDefault="00433A6A">
            <w:pPr>
              <w:adjustRightInd/>
              <w:snapToGrid/>
              <w:spacing w:after="0" w:line="300" w:lineRule="auto"/>
              <w:jc w:val="center"/>
              <w:rPr>
                <w:rFonts w:ascii="仿宋" w:hAnsi="仿宋" w:cs="仿宋"/>
              </w:rPr>
            </w:pPr>
          </w:p>
          <w:p w:rsidR="00433A6A" w:rsidRDefault="00232F2E">
            <w:pPr>
              <w:adjustRightInd/>
              <w:snapToGrid/>
              <w:spacing w:after="0" w:line="300" w:lineRule="auto"/>
              <w:jc w:val="center"/>
              <w:rPr>
                <w:rFonts w:ascii="仿宋" w:hAnsi="仿宋" w:cs="仿宋"/>
              </w:rPr>
            </w:pPr>
            <w:r>
              <w:rPr>
                <w:rFonts w:ascii="黑体" w:eastAsia="黑体" w:hAnsi="黑体" w:cs="黑体" w:hint="eastAsia"/>
              </w:rPr>
              <w:t>第一章　总则</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仿宋" w:hAnsi="仿宋" w:cs="仿宋"/>
              </w:rPr>
            </w:pPr>
          </w:p>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第一条</w:t>
            </w:r>
            <w:r>
              <w:rPr>
                <w:rFonts w:ascii="仿宋" w:hAnsi="仿宋" w:cs="仿宋" w:hint="eastAsia"/>
              </w:rPr>
              <w:t xml:space="preserve">　为了促进科技成果转化为现实生产力，规范科技成果转化活动，维护科技成果转化各方的合法权益，推进科教兴省战略的实施，推动经济建设和社会发展，根据《</w:t>
            </w:r>
            <w:hyperlink r:id="rId7" w:history="1">
              <w:r>
                <w:rPr>
                  <w:rFonts w:ascii="仿宋" w:hAnsi="仿宋" w:cs="仿宋" w:hint="eastAsia"/>
                </w:rPr>
                <w:t>中华人民共和国促进科技成果转化法</w:t>
              </w:r>
            </w:hyperlink>
            <w:r>
              <w:rPr>
                <w:rFonts w:ascii="仿宋" w:hAnsi="仿宋" w:cs="仿宋" w:hint="eastAsia"/>
              </w:rPr>
              <w:t>》和其他有关法律、法规，结合本省实际，制定本条例。</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 xml:space="preserve">第二条　</w:t>
            </w:r>
            <w:r>
              <w:rPr>
                <w:rFonts w:ascii="仿宋" w:hAnsi="仿宋" w:cs="仿宋" w:hint="eastAsia"/>
              </w:rPr>
              <w:t>本条例所称科技成果转化，是指为提高生产力水平而对科学研究与技术开发所产生的具有实用价值的科技成果所进行的后续试验、开发直至形成新产品、新工艺、新材料，以及应用、推广科技成果，发展新产业等活动。</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第三条</w:t>
            </w:r>
            <w:r>
              <w:rPr>
                <w:rFonts w:ascii="仿宋" w:hAnsi="仿宋" w:cs="仿宋" w:hint="eastAsia"/>
              </w:rPr>
              <w:t xml:space="preserve">　本条例适用于本省行政区域内与科技成果转化活动有关的组织和个人。</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第四条</w:t>
            </w:r>
            <w:r>
              <w:rPr>
                <w:rFonts w:ascii="仿宋" w:hAnsi="仿宋" w:cs="仿宋" w:hint="eastAsia"/>
              </w:rPr>
              <w:t xml:space="preserve">　各级人民政府负责管理、指导和协调本行政区域内的科技成果转化工作。</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县级以上人民政府科学技术行政部门和其他有关行政部门依照各自的职责范围，做好组织、指导、协调工作，为科技成果转化活动提供服务。</w:t>
            </w:r>
          </w:p>
          <w:p w:rsidR="00433A6A" w:rsidRDefault="00433A6A">
            <w:pPr>
              <w:snapToGrid/>
              <w:spacing w:after="0" w:line="300" w:lineRule="auto"/>
              <w:ind w:firstLineChars="200" w:firstLine="632"/>
              <w:jc w:val="both"/>
              <w:rPr>
                <w:rFonts w:ascii="仿宋" w:hAnsi="仿宋" w:cs="仿宋"/>
              </w:rPr>
            </w:pP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center"/>
              <w:rPr>
                <w:rFonts w:ascii="仿宋" w:hAnsi="仿宋" w:cs="仿宋"/>
              </w:rPr>
            </w:pPr>
            <w:r>
              <w:rPr>
                <w:rFonts w:ascii="黑体" w:eastAsia="黑体" w:hAnsi="黑体" w:cs="黑体" w:hint="eastAsia"/>
              </w:rPr>
              <w:t>第二章　组织实施</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黑体" w:eastAsia="黑体" w:hAnsi="黑体" w:cs="黑体"/>
              </w:rPr>
            </w:pPr>
          </w:p>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第五条</w:t>
            </w:r>
            <w:r>
              <w:rPr>
                <w:rFonts w:ascii="仿宋" w:hAnsi="仿宋" w:cs="仿宋" w:hint="eastAsia"/>
              </w:rPr>
              <w:t xml:space="preserve">　各级人民政府应当对科技成果转化活动进行正确的产业导向和技术导向，培育和发展技术市场，在政策制定、人才培训和资金投入等方面给予支持和引导。</w:t>
            </w:r>
            <w:bookmarkStart w:id="0" w:name="_GoBack"/>
            <w:bookmarkEnd w:id="0"/>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lastRenderedPageBreak/>
              <w:t>县级以上人民政府科学技术行政部门负责编制本行政区域内的科技成果转化项目指南，发布科技成果供求信息。</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第六条</w:t>
            </w:r>
            <w:r>
              <w:rPr>
                <w:rFonts w:ascii="仿宋" w:hAnsi="仿宋" w:cs="仿宋" w:hint="eastAsia"/>
              </w:rPr>
              <w:t xml:space="preserve">　各级人民政府确定的重大科技成果转化项目及相关工作，有关部门和单位应当按要求组织落实，并在规定的时间内将落实情况向本级人民政府作出报告。</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第七条</w:t>
            </w:r>
            <w:r>
              <w:rPr>
                <w:rFonts w:ascii="仿宋" w:hAnsi="仿宋" w:cs="仿宋" w:hint="eastAsia"/>
              </w:rPr>
              <w:t xml:space="preserve">　科研机构应当创造条件，逐步转变为科技型企业、整体或者部分进入企业（集团）和转变为技术服务与中介机构，促进科技成果转化。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第八条</w:t>
            </w:r>
            <w:r>
              <w:rPr>
                <w:rFonts w:ascii="仿宋" w:hAnsi="仿宋" w:cs="仿宋" w:hint="eastAsia"/>
              </w:rPr>
              <w:t xml:space="preserve">　有关科研机构、高等院校以及企业、事业单位应当同农业科学技术转化机构、农民技术协会和科技示范区、科技示范户相结合，加速农业科技成果转化。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第九条</w:t>
            </w:r>
            <w:r>
              <w:rPr>
                <w:rFonts w:ascii="仿宋" w:hAnsi="仿宋" w:cs="仿宋" w:hint="eastAsia"/>
              </w:rPr>
              <w:t xml:space="preserve">　农业科研机构可以依法经营其研究开发的新农药、新化肥、农作物及禽畜新品种。</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 xml:space="preserve">第十条　</w:t>
            </w:r>
            <w:r>
              <w:rPr>
                <w:rFonts w:ascii="仿宋" w:hAnsi="仿宋" w:cs="仿宋" w:hint="eastAsia"/>
              </w:rPr>
              <w:t>企业应当逐步建立科研、生产、市场相结合的技术开发、科技成果转化机制。</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企业可以独立或者与其他组织合作研究开发新技术、新材料、新产品、新工艺，承担政府及有关部门组织实施的重大科技研究开发项目和科技成果转化项目。</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第十一条</w:t>
            </w:r>
            <w:r>
              <w:rPr>
                <w:rFonts w:ascii="仿宋" w:hAnsi="仿宋" w:cs="仿宋" w:hint="eastAsia"/>
              </w:rPr>
              <w:t xml:space="preserve">　鼓励和支持企业、科研机构、高等院校依法独立建立或者联合建立示范性生产基地、中间试验基地和科技成果转化服务机构。</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第十二条</w:t>
            </w:r>
            <w:r>
              <w:rPr>
                <w:rFonts w:ascii="仿宋" w:hAnsi="仿宋" w:cs="仿宋" w:hint="eastAsia"/>
              </w:rPr>
              <w:t xml:space="preserve">　有条件的组织和个人均可以依法创办以促进科技成果转化为目的的科技顾问公司，投资咨询公司，市场咨询</w:t>
            </w:r>
            <w:r>
              <w:rPr>
                <w:rFonts w:ascii="仿宋" w:hAnsi="仿宋" w:cs="仿宋" w:hint="eastAsia"/>
              </w:rPr>
              <w:lastRenderedPageBreak/>
              <w:t>公司，会计、律师咨询机构，评估机构等中介机构。</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第十三条</w:t>
            </w:r>
            <w:r>
              <w:rPr>
                <w:rFonts w:ascii="仿宋" w:hAnsi="仿宋" w:cs="仿宋" w:hint="eastAsia"/>
              </w:rPr>
              <w:t xml:space="preserve">　技术出资方可以用依法取得的发明、实用新型、外观设计专利权，计算机软件著作权，非专利技术成果的使用权等技术成果财产权作价入股。</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作为出资的专利权和计算机软件著作权，其剩余的法定保护期应当不少于三年。</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第十四条</w:t>
            </w:r>
            <w:r>
              <w:rPr>
                <w:rFonts w:ascii="仿宋" w:hAnsi="仿宋" w:cs="仿宋" w:hint="eastAsia"/>
              </w:rPr>
              <w:t xml:space="preserve">　科技成果经具有无形资产评估资格的机构进行评估后，可以作价出资、入股，出资比例或者入股的份额不超过项目投资总额的２０％。高新技术成果出资、入股的不超过３５％。</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成果完成人和成果转化的主要实施者可以获得与之相当的股权收益，所占比例不受限制。凡属政府资助项目实施转化的，从收益之日起三年内，成果完成人和成果转化的主要实施者可以共享不低于５０％的该成果股权收益。从收益之日起第四至第六年，成果完成人和成果转化的主要实施者可以共享不低于３０％的该成果股权收益。</w:t>
            </w:r>
          </w:p>
          <w:p w:rsidR="00433A6A" w:rsidRDefault="00433A6A">
            <w:pPr>
              <w:snapToGrid/>
              <w:spacing w:after="0" w:line="300" w:lineRule="auto"/>
              <w:ind w:firstLineChars="200" w:firstLine="632"/>
              <w:jc w:val="both"/>
              <w:rPr>
                <w:rFonts w:ascii="仿宋" w:hAnsi="仿宋" w:cs="仿宋"/>
              </w:rPr>
            </w:pP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center"/>
              <w:rPr>
                <w:rFonts w:ascii="仿宋" w:hAnsi="仿宋" w:cs="仿宋"/>
              </w:rPr>
            </w:pPr>
            <w:r>
              <w:rPr>
                <w:rFonts w:ascii="黑体" w:eastAsia="黑体" w:hAnsi="黑体" w:cs="黑体" w:hint="eastAsia"/>
              </w:rPr>
              <w:t>第三章　保障措施</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黑体" w:eastAsia="黑体" w:hAnsi="黑体" w:cs="黑体"/>
              </w:rPr>
            </w:pPr>
          </w:p>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第十五条</w:t>
            </w:r>
            <w:r>
              <w:rPr>
                <w:rFonts w:ascii="仿宋" w:hAnsi="仿宋" w:cs="仿宋" w:hint="eastAsia"/>
              </w:rPr>
              <w:t xml:space="preserve">　县级以上人民政府用于科学技术、农业发展资金及扶贫资金、乡镇企业发展资金等经费中，应当有一定比例专项用于科技成果转化。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省级财政预算中的科技三项费用于科技成果转化的部分不</w:t>
            </w:r>
            <w:r>
              <w:rPr>
                <w:rFonts w:ascii="仿宋" w:hAnsi="仿宋" w:cs="仿宋" w:hint="eastAsia"/>
              </w:rPr>
              <w:lastRenderedPageBreak/>
              <w:t>低于１０％，市、县级财政预算中的科技三项费主要用于科技成果转化。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lastRenderedPageBreak/>
              <w:t>县级以上人民政府有关行政部门也应当逐年增加对科技成果转化的投入。</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科技成果转化的财政经费，主要用于科技成果转化的引导资金、贷款贴息、补助资金和风险投资等。</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第十六条</w:t>
            </w:r>
            <w:r>
              <w:rPr>
                <w:rFonts w:ascii="仿宋" w:hAnsi="仿宋" w:cs="仿宋" w:hint="eastAsia"/>
              </w:rPr>
              <w:t xml:space="preserve">　依法设立科技成果转化基金。基金的设立、管理办法，由省人民政府按国家有关规定制定。</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第十七条</w:t>
            </w:r>
            <w:r>
              <w:rPr>
                <w:rFonts w:ascii="仿宋" w:hAnsi="仿宋" w:cs="仿宋" w:hint="eastAsia"/>
              </w:rPr>
              <w:t xml:space="preserve">　有条件的组织可以依法建立科技成果产业化风险投资公司，支持高收入、高风险、高产出的科技成果转化。企业、事业单位及其它组织和个人可以参与投入，分享收益，共担风险。</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第十八条</w:t>
            </w:r>
            <w:r>
              <w:rPr>
                <w:rFonts w:ascii="仿宋" w:hAnsi="仿宋" w:cs="仿宋" w:hint="eastAsia"/>
              </w:rPr>
              <w:t xml:space="preserve">　科技成果转化的试验产品应当符合国家有关技术、质量、安全、卫生等标准，可以按照国家有关试销产品的规定，在三年内试销。</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科技成果转化的试验产品，除国家和省明确限价的产品外，在试销期内，其试销价格由生产单位自行确定。</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第十九条</w:t>
            </w:r>
            <w:r>
              <w:rPr>
                <w:rFonts w:ascii="仿宋" w:hAnsi="仿宋" w:cs="仿宋" w:hint="eastAsia"/>
              </w:rPr>
              <w:t xml:space="preserve">　各类科技成果转化服务机构可以从事国内外科技成果的采集、贮存、发布和推广以及生产、应用领域需要科技攻关的信息的收集、贮存和发布，建立科技界与产业界、金融界的沟通渠道，开展产学研成果信息交流，并对科技成果转化项目的立项、工商注册登记、税务登记和政策咨询等提供服务。</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第二十条</w:t>
            </w:r>
            <w:r>
              <w:rPr>
                <w:rFonts w:ascii="仿宋" w:hAnsi="仿宋" w:cs="仿宋" w:hint="eastAsia"/>
              </w:rPr>
              <w:t xml:space="preserve">　科研机构、高等院校取得的具有实用价值的职务科技成果，自完成之日起一年内，未实施转化的，科技成果完成人和参加人在不变更科技成果权益的前提下，可以与本单位签订协议，进行该目项科技成果的转让，该单位对上述成果转化活动应当予以支持。</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职务科技成果的完成人和参加人，不得阻碍职务科技成果的转让，不得以任何方式将职务科技成果及技术资料据为己有或者作为非职务科技成果进行转让。</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第二十一条</w:t>
            </w:r>
            <w:r>
              <w:rPr>
                <w:rFonts w:ascii="仿宋" w:hAnsi="仿宋" w:cs="仿宋" w:hint="eastAsia"/>
              </w:rPr>
              <w:t xml:space="preserve">　列入各级人民政府科技发展计划中的应用性研究项目，其研究成果在通过鉴定之日起一年内未实施转化的，有关部门应当责令其向社会公开转让，并暂停对承担单位和个人的政府资助。</w:t>
            </w:r>
          </w:p>
          <w:p w:rsidR="00433A6A" w:rsidRDefault="00433A6A">
            <w:pPr>
              <w:snapToGrid/>
              <w:spacing w:after="0" w:line="300" w:lineRule="auto"/>
              <w:ind w:firstLineChars="200" w:firstLine="632"/>
              <w:jc w:val="both"/>
              <w:rPr>
                <w:rFonts w:ascii="仿宋" w:hAnsi="仿宋" w:cs="仿宋"/>
              </w:rPr>
            </w:pP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center"/>
              <w:rPr>
                <w:rFonts w:ascii="仿宋" w:hAnsi="仿宋" w:cs="仿宋"/>
              </w:rPr>
            </w:pPr>
            <w:r>
              <w:rPr>
                <w:rFonts w:ascii="黑体" w:eastAsia="黑体" w:hAnsi="黑体" w:cs="黑体" w:hint="eastAsia"/>
              </w:rPr>
              <w:t>第四章　优惠与奖</w:t>
            </w:r>
            <w:r>
              <w:rPr>
                <w:rFonts w:ascii="仿宋" w:hAnsi="仿宋" w:cs="仿宋" w:hint="eastAsia"/>
              </w:rPr>
              <w:t>励</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黑体" w:eastAsia="黑体" w:hAnsi="黑体" w:cs="黑体"/>
              </w:rPr>
            </w:pPr>
          </w:p>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第二十二条</w:t>
            </w:r>
            <w:r>
              <w:rPr>
                <w:rFonts w:ascii="仿宋" w:hAnsi="仿宋" w:cs="仿宋" w:hint="eastAsia"/>
              </w:rPr>
              <w:t xml:space="preserve">　企业为开发新技术、研制新产品所购置的试制用设备、测试仪器，单台价值在１０万元以下的，可以一次或者分次摊入管理费用。</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企业发生的技术开发费比上年实际增长１０％以上的，经税务机关审核</w:t>
            </w:r>
            <w:r w:rsidR="005F6870">
              <w:rPr>
                <w:rFonts w:ascii="仿宋" w:hAnsi="仿宋" w:cs="仿宋" w:hint="eastAsia"/>
                <w:color w:val="FF0000"/>
              </w:rPr>
              <w:t>批准</w:t>
            </w:r>
            <w:r>
              <w:rPr>
                <w:rFonts w:ascii="仿宋" w:hAnsi="仿宋" w:cs="仿宋" w:hint="eastAsia"/>
              </w:rPr>
              <w:t>，允许再按技术开发费实际发生额的５０％，抵扣当年度的应纳税所得额。</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第二十三条</w:t>
            </w:r>
            <w:r>
              <w:rPr>
                <w:rFonts w:ascii="仿宋" w:hAnsi="仿宋" w:cs="仿宋" w:hint="eastAsia"/>
              </w:rPr>
              <w:t xml:space="preserve">　科研机构、高等院校的技术转让收入免征营业税。科研机构、高等院校服务于各业的技术成果转让、技术</w:t>
            </w:r>
            <w:r>
              <w:rPr>
                <w:rFonts w:ascii="仿宋" w:hAnsi="仿宋" w:cs="仿宋" w:hint="eastAsia"/>
              </w:rPr>
              <w:lastRenderedPageBreak/>
              <w:t>培训、技术咨询、技术承包所取得的技术性服务收入暂免征收所得税。企业进行技术转让以及在技术转让过程中发生的与技术转让有关的技术培训、技术咨询、技术服务年净收入在５０万元以下的，暂免征收所得税；对新创办的从事咨询、信息、技术服务业的企业，自开办之日起，第一年至第二年免征所得税。</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lastRenderedPageBreak/>
              <w:t>减免的税金，必须专项用于技术开发。</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第二十四条</w:t>
            </w:r>
            <w:r>
              <w:rPr>
                <w:rFonts w:ascii="仿宋" w:hAnsi="仿宋" w:cs="仿宋" w:hint="eastAsia"/>
              </w:rPr>
              <w:t xml:space="preserve">　省内首家生产的属高新技术类的发明专利产品从投产之日起在三年内、实用新型专利产品从投产之日起在二年内，新增属地方使用的增值税全部返还给企业。</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经省有关部门认定的高新技术产品和高新技术企业引进高新技术消化吸收和创新项目，从投产之日起，三年内新增部分的所得税、新增属地方使用的增值税，可以由财政返还给企业。高新技术企业按规定减免税收期满后，凡当年出口产品产值达７０％以上的，经财税部门审查核定，对其出口的高新技术产品所得税应税额的５０％部分给予三年先征收后由财政返还的优惠。</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第二十五条</w:t>
            </w:r>
            <w:r>
              <w:rPr>
                <w:rFonts w:ascii="仿宋" w:hAnsi="仿宋" w:cs="仿宋" w:hint="eastAsia"/>
              </w:rPr>
              <w:t xml:space="preserve">　经省有关部门认定的高新技术成果转化项目，用地应收取的耕地造地费或新菜地开发建设基金按有关规定的低限收取，确有困难的，经审查批准，可以缓交；建设过程中的上水、排水增容费可以缓交；部分房产契税可作为政府的补贴返还；免收组建项目公司时行政机关收取的有关费用（国家有规定的除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第二十六条</w:t>
            </w:r>
            <w:r>
              <w:rPr>
                <w:rFonts w:ascii="仿宋" w:hAnsi="仿宋" w:cs="仿宋" w:hint="eastAsia"/>
              </w:rPr>
              <w:t xml:space="preserve">　对在科技成果转化工作中，做出突出贡献的组织和个人，由各级人民政府或者有关部门、单位按照有关规定给予表彰或者奖励；产生显著效益的，予以重奖。</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第二十七条</w:t>
            </w:r>
            <w:r>
              <w:rPr>
                <w:rFonts w:ascii="仿宋" w:hAnsi="仿宋" w:cs="仿宋" w:hint="eastAsia"/>
              </w:rPr>
              <w:t xml:space="preserve">　省外以及国外组织和个人的科技成果在我省实施转化的，享受我省科技成果转化方面的优惠待遇。</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第二十八条</w:t>
            </w:r>
            <w:r>
              <w:rPr>
                <w:rFonts w:ascii="仿宋" w:hAnsi="仿宋" w:cs="仿宋" w:hint="eastAsia"/>
              </w:rPr>
              <w:t xml:space="preserve">　职务科技成果转让后，转让单位应当从转让该科技成果所取得的净收入中提取不低于２０％的奖金奖励给对完成该项目科技成果做出重要贡献的人员。</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科技成果转化投产成功后，接受转让科技成果的单位应当连续３～５年从实施该科技成果新增留利中提取不低５％的</w:t>
            </w:r>
            <w:r w:rsidR="005F6870" w:rsidRPr="005F6870">
              <w:rPr>
                <w:rFonts w:ascii="仿宋" w:hAnsi="仿宋" w:cs="仿宋" w:hint="eastAsia"/>
              </w:rPr>
              <w:t>奖金</w:t>
            </w:r>
            <w:r w:rsidRPr="005F6870">
              <w:rPr>
                <w:rFonts w:ascii="仿宋" w:hAnsi="仿宋" w:cs="仿宋" w:hint="eastAsia"/>
              </w:rPr>
              <w:t>，奖励给对转化该项科技成果做出重要贡献的人员。</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采用股份形式的企业实施转化的，可以用不低于科技成果入股作价金额２０％的股份给予奖励，持股人依据其所持股份分享收益。</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第二十九条</w:t>
            </w:r>
            <w:r>
              <w:rPr>
                <w:rFonts w:ascii="仿宋" w:hAnsi="仿宋" w:cs="仿宋" w:hint="eastAsia"/>
              </w:rPr>
              <w:t xml:space="preserve">　在科技成果转化过程中，取得重大经济效益和社会效益的项目，可以申报吉林省科学技术进步奖，并逐步提高吉林省科学技术进步奖中转化类科技成果的授奖比例。</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从事应用性研究开发的科技人员晋升专业技术职务任职资格时，应当将其科技成果转化工作的业绩作为必要条件。业绩突出的，可以不受学历、资历和专业技术职务岗位数额等条件的限制，破格参加相应的专业技术职务任职资格的评审。</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仿宋" w:hAnsi="仿宋" w:cs="仿宋" w:hint="eastAsia"/>
              </w:rPr>
              <w:t>优先推荐在科技成果转化工作中取得显著成绩的科技人员，申报国家有突出贡献的中青年科学、技术、管理专家和享</w:t>
            </w:r>
            <w:r>
              <w:rPr>
                <w:rFonts w:ascii="仿宋" w:hAnsi="仿宋" w:cs="仿宋" w:hint="eastAsia"/>
              </w:rPr>
              <w:lastRenderedPageBreak/>
              <w:t>受政府特殊津贴以及吉林省有突出贡献的中青年专业技术人才。</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黑体" w:eastAsia="黑体" w:hAnsi="黑体" w:cs="黑体"/>
              </w:rPr>
            </w:pPr>
          </w:p>
          <w:p w:rsidR="00433A6A" w:rsidRDefault="00232F2E">
            <w:pPr>
              <w:snapToGrid/>
              <w:spacing w:after="0" w:line="300" w:lineRule="auto"/>
              <w:ind w:firstLineChars="200" w:firstLine="632"/>
              <w:jc w:val="center"/>
              <w:rPr>
                <w:rFonts w:ascii="仿宋" w:hAnsi="仿宋" w:cs="仿宋"/>
              </w:rPr>
            </w:pPr>
            <w:r>
              <w:rPr>
                <w:rFonts w:ascii="黑体" w:eastAsia="黑体" w:hAnsi="黑体" w:cs="黑体" w:hint="eastAsia"/>
              </w:rPr>
              <w:t>第五章　法律责任</w:t>
            </w:r>
          </w:p>
        </w:tc>
      </w:tr>
      <w:tr w:rsidR="00433A6A">
        <w:trPr>
          <w:trHeight w:val="375"/>
          <w:tblCellSpacing w:w="15" w:type="dxa"/>
        </w:trPr>
        <w:tc>
          <w:tcPr>
            <w:tcW w:w="8862" w:type="dxa"/>
            <w:vAlign w:val="center"/>
          </w:tcPr>
          <w:p w:rsidR="00433A6A" w:rsidRDefault="00433A6A">
            <w:pPr>
              <w:snapToGrid/>
              <w:spacing w:after="0" w:line="300" w:lineRule="auto"/>
              <w:ind w:firstLineChars="200" w:firstLine="632"/>
              <w:jc w:val="both"/>
              <w:rPr>
                <w:rFonts w:ascii="黑体" w:eastAsia="黑体" w:hAnsi="黑体" w:cs="黑体"/>
              </w:rPr>
            </w:pPr>
          </w:p>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第三十条</w:t>
            </w:r>
            <w:r>
              <w:rPr>
                <w:rFonts w:ascii="仿宋" w:hAnsi="仿宋" w:cs="仿宋" w:hint="eastAsia"/>
              </w:rPr>
              <w:t xml:space="preserve">　在科技成果转化活动中弄虚作假，采取欺骗手段，骗取奖励和荣誉称号、诈骗钱财、非法牟利的，责令改正，取消该奖励和荣誉称号，没收违法所得，并处以３０００元以上５０００元以下罚款。给他人造成经济损失的，依法承担民事赔偿责任。</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第三十一条</w:t>
            </w:r>
            <w:r>
              <w:rPr>
                <w:rFonts w:ascii="仿宋" w:hAnsi="仿宋" w:cs="仿宋" w:hint="eastAsia"/>
              </w:rPr>
              <w:t xml:space="preserve">　在技术交易中从事代理或者居间服务的中介机构和从事经纪业务的人员，欺骗委托人的，或者与当事人一方串通欺骗另一方当事人的，责令改正，予以警告，除依法承担民事赔偿责任外，没收违法所得，并处以５０００元以上２００００元以下罚款；情节严重的，依法吊销营业执照和资格证书。</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第三十二条</w:t>
            </w:r>
            <w:r>
              <w:rPr>
                <w:rFonts w:ascii="仿宋" w:hAnsi="仿宋" w:cs="仿宋" w:hint="eastAsia"/>
              </w:rPr>
              <w:t xml:space="preserve">　对科技成果进行</w:t>
            </w:r>
            <w:r>
              <w:rPr>
                <w:rFonts w:ascii="仿宋" w:hAnsi="仿宋" w:cs="仿宋" w:hint="eastAsia"/>
                <w:color w:val="FF0000"/>
              </w:rPr>
              <w:t>价格</w:t>
            </w:r>
            <w:r>
              <w:rPr>
                <w:rFonts w:ascii="仿宋" w:hAnsi="仿宋" w:cs="仿宋" w:hint="eastAsia"/>
              </w:rPr>
              <w:t>评估时，故意提供虚假评估证明的，责令改正，予以警告，没收违法所得，并对该评估机构处以１００００元以上２００００元以下罚款；情节严重的，依法吊销营业执照和资格证书，给他人造成经济损失的，依法承担民事赔偿责任。</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第三十三条</w:t>
            </w:r>
            <w:r>
              <w:rPr>
                <w:rFonts w:ascii="仿宋" w:hAnsi="仿宋" w:cs="仿宋" w:hint="eastAsia"/>
              </w:rPr>
              <w:t xml:space="preserve">　以唆使窃取、利诱胁迫等手段侵占他人的科技成果，侵犯他人合法权益的，依法承担民事赔偿责任，可以</w:t>
            </w:r>
            <w:r>
              <w:rPr>
                <w:rFonts w:ascii="仿宋" w:hAnsi="仿宋" w:cs="仿宋" w:hint="eastAsia"/>
              </w:rPr>
              <w:lastRenderedPageBreak/>
              <w:t>处以１００００元以上３００００元以下罚款。</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lastRenderedPageBreak/>
              <w:t>第三十四条</w:t>
            </w:r>
            <w:r>
              <w:rPr>
                <w:rFonts w:ascii="仿宋" w:hAnsi="仿宋" w:cs="仿宋" w:hint="eastAsia"/>
              </w:rPr>
              <w:t xml:space="preserve">　各级人民政府科学技术行政部门和其他有关部门工作人员在科技成果转化中玩忽职守、以权谋私、徇私舞弊的，给予行政处分。</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第三十五条</w:t>
            </w:r>
            <w:r>
              <w:rPr>
                <w:rFonts w:ascii="仿宋" w:hAnsi="仿宋" w:cs="仿宋" w:hint="eastAsia"/>
              </w:rPr>
              <w:t xml:space="preserve">　截留、挪用科技成果转化经费的，由有关部门责令改正，并由其所在单位、上级机关或者有关主管部门给予行政处分。</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第三十六条</w:t>
            </w:r>
            <w:r>
              <w:rPr>
                <w:rFonts w:ascii="仿宋" w:hAnsi="仿宋" w:cs="仿宋" w:hint="eastAsia"/>
              </w:rPr>
              <w:t xml:space="preserve">　本条例规定的行政处罚，除法律、法规另有规定的，由科学技术行政部门决定。</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第三十七条</w:t>
            </w:r>
            <w:r>
              <w:rPr>
                <w:rFonts w:ascii="仿宋" w:hAnsi="仿宋" w:cs="仿宋" w:hint="eastAsia"/>
              </w:rPr>
              <w:t xml:space="preserve">　当事人对于行政处罚决定不服的，可以依法申请行政复议或者提起行政诉讼。</w:t>
            </w: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第三十八条</w:t>
            </w:r>
            <w:r>
              <w:rPr>
                <w:rFonts w:ascii="仿宋" w:hAnsi="仿宋" w:cs="仿宋" w:hint="eastAsia"/>
              </w:rPr>
              <w:t xml:space="preserve">　违反本条例规定，构成犯罪的，由司法机关依法追究刑事责任。</w:t>
            </w:r>
          </w:p>
          <w:p w:rsidR="00433A6A" w:rsidRDefault="00433A6A">
            <w:pPr>
              <w:snapToGrid/>
              <w:spacing w:after="0" w:line="300" w:lineRule="auto"/>
              <w:ind w:firstLineChars="200" w:firstLine="632"/>
              <w:jc w:val="both"/>
              <w:rPr>
                <w:rFonts w:ascii="仿宋" w:hAnsi="仿宋" w:cs="仿宋"/>
              </w:rPr>
            </w:pP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center"/>
              <w:rPr>
                <w:rFonts w:ascii="黑体" w:eastAsia="黑体" w:hAnsi="黑体" w:cs="黑体"/>
              </w:rPr>
            </w:pPr>
            <w:r>
              <w:rPr>
                <w:rFonts w:ascii="黑体" w:eastAsia="黑体" w:hAnsi="黑体" w:cs="黑体" w:hint="eastAsia"/>
              </w:rPr>
              <w:t>第六章　附则</w:t>
            </w:r>
          </w:p>
          <w:p w:rsidR="00433A6A" w:rsidRDefault="00433A6A">
            <w:pPr>
              <w:snapToGrid/>
              <w:spacing w:after="0" w:line="300" w:lineRule="auto"/>
              <w:ind w:firstLineChars="200" w:firstLine="632"/>
              <w:jc w:val="both"/>
              <w:rPr>
                <w:rFonts w:ascii="黑体" w:eastAsia="黑体" w:hAnsi="黑体" w:cs="黑体"/>
              </w:rPr>
            </w:pPr>
          </w:p>
        </w:tc>
      </w:tr>
      <w:tr w:rsidR="00433A6A">
        <w:trPr>
          <w:trHeight w:val="375"/>
          <w:tblCellSpacing w:w="15" w:type="dxa"/>
        </w:trPr>
        <w:tc>
          <w:tcPr>
            <w:tcW w:w="8862" w:type="dxa"/>
            <w:vAlign w:val="center"/>
          </w:tcPr>
          <w:p w:rsidR="00433A6A" w:rsidRDefault="00232F2E">
            <w:pPr>
              <w:snapToGrid/>
              <w:spacing w:after="0" w:line="300" w:lineRule="auto"/>
              <w:ind w:firstLineChars="200" w:firstLine="632"/>
              <w:jc w:val="both"/>
              <w:rPr>
                <w:rFonts w:ascii="仿宋" w:hAnsi="仿宋" w:cs="仿宋"/>
              </w:rPr>
            </w:pPr>
            <w:r>
              <w:rPr>
                <w:rFonts w:ascii="黑体" w:eastAsia="黑体" w:hAnsi="黑体" w:cs="黑体" w:hint="eastAsia"/>
              </w:rPr>
              <w:t>第三十九条</w:t>
            </w:r>
            <w:r>
              <w:rPr>
                <w:rFonts w:ascii="仿宋" w:hAnsi="仿宋" w:cs="仿宋" w:hint="eastAsia"/>
              </w:rPr>
              <w:t xml:space="preserve">　本条例自公布之日起施行。</w:t>
            </w:r>
          </w:p>
        </w:tc>
      </w:tr>
    </w:tbl>
    <w:p w:rsidR="00433A6A" w:rsidRDefault="00433A6A">
      <w:pPr>
        <w:adjustRightInd/>
        <w:snapToGrid/>
        <w:spacing w:after="0" w:line="300" w:lineRule="auto"/>
        <w:jc w:val="center"/>
        <w:rPr>
          <w:rFonts w:ascii="仿宋" w:hAnsi="仿宋" w:cs="仿宋"/>
        </w:rPr>
      </w:pPr>
    </w:p>
    <w:p w:rsidR="00433A6A" w:rsidRDefault="00433A6A">
      <w:pPr>
        <w:snapToGrid/>
        <w:spacing w:after="0" w:line="300" w:lineRule="auto"/>
      </w:pPr>
    </w:p>
    <w:sectPr w:rsidR="00433A6A" w:rsidSect="00433A6A">
      <w:footerReference w:type="even" r:id="rId8"/>
      <w:footerReference w:type="default" r:id="rId9"/>
      <w:pgSz w:w="11906" w:h="16838"/>
      <w:pgMar w:top="2041" w:right="1531" w:bottom="2041" w:left="1531" w:header="708" w:footer="709" w:gutter="0"/>
      <w:cols w:space="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A7F" w:rsidRDefault="00CA0A7F" w:rsidP="00433A6A">
      <w:pPr>
        <w:spacing w:after="0"/>
      </w:pPr>
      <w:r>
        <w:separator/>
      </w:r>
    </w:p>
  </w:endnote>
  <w:endnote w:type="continuationSeparator" w:id="1">
    <w:p w:rsidR="00CA0A7F" w:rsidRDefault="00CA0A7F" w:rsidP="00433A6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6A" w:rsidRDefault="00685B81">
    <w:pPr>
      <w:pStyle w:val="a3"/>
    </w:pPr>
    <w:r>
      <w:pict>
        <v:shapetype id="_x0000_t202" coordsize="21600,21600" o:spt="202" path="m,l,21600r21600,l21600,xe">
          <v:stroke joinstyle="miter"/>
          <v:path gradientshapeok="t" o:connecttype="rect"/>
        </v:shapetype>
        <v:shape id="_x0000_s2050" type="#_x0000_t202" style="position:absolute;margin-left:14.15pt;margin-top:-42.55pt;width:2in;height:2in;z-index:251659264;mso-wrap-style:none;mso-position-horizontal-relative:margin" filled="f" stroked="f">
          <v:textbox style="mso-fit-shape-to-text:t" inset="0,0,0,0">
            <w:txbxContent>
              <w:p w:rsidR="00433A6A" w:rsidRDefault="00232F2E">
                <w:pPr>
                  <w:rPr>
                    <w:rFonts w:ascii="宋体" w:eastAsia="宋体" w:hAnsi="宋体" w:cs="宋体"/>
                    <w:sz w:val="28"/>
                    <w:szCs w:val="28"/>
                  </w:rPr>
                </w:pPr>
                <w:r>
                  <w:rPr>
                    <w:rFonts w:ascii="宋体" w:eastAsia="宋体" w:hAnsi="宋体" w:cs="宋体" w:hint="eastAsia"/>
                    <w:sz w:val="28"/>
                    <w:szCs w:val="28"/>
                  </w:rPr>
                  <w:t>－</w:t>
                </w:r>
                <w:r w:rsidR="00685B81">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685B81">
                  <w:rPr>
                    <w:rFonts w:ascii="宋体" w:eastAsia="宋体" w:hAnsi="宋体" w:cs="宋体" w:hint="eastAsia"/>
                    <w:sz w:val="28"/>
                    <w:szCs w:val="28"/>
                  </w:rPr>
                  <w:fldChar w:fldCharType="separate"/>
                </w:r>
                <w:r w:rsidR="00D51DB8">
                  <w:rPr>
                    <w:rFonts w:ascii="宋体" w:eastAsia="宋体" w:hAnsi="宋体" w:cs="宋体"/>
                    <w:noProof/>
                    <w:sz w:val="28"/>
                    <w:szCs w:val="28"/>
                  </w:rPr>
                  <w:t>2</w:t>
                </w:r>
                <w:r w:rsidR="00685B81">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6A" w:rsidRDefault="00685B81">
    <w:pPr>
      <w:pStyle w:val="a3"/>
    </w:pPr>
    <w:r>
      <w:pict>
        <v:shapetype id="_x0000_t202" coordsize="21600,21600" o:spt="202" path="m,l,21600r21600,l21600,xe">
          <v:stroke joinstyle="miter"/>
          <v:path gradientshapeok="t" o:connecttype="rect"/>
        </v:shapetype>
        <v:shape id="_x0000_s2049" type="#_x0000_t202" style="position:absolute;margin-left:373.75pt;margin-top:-37.45pt;width:59pt;height:30.6pt;z-index:251658240;mso-position-horizontal-relative:margin" filled="f" stroked="f">
          <v:textbox inset="0,0,0,0">
            <w:txbxContent>
              <w:p w:rsidR="00433A6A" w:rsidRDefault="00232F2E">
                <w:pPr>
                  <w:rPr>
                    <w:rFonts w:ascii="宋体" w:eastAsia="宋体" w:hAnsi="宋体" w:cs="宋体"/>
                    <w:sz w:val="28"/>
                    <w:szCs w:val="28"/>
                  </w:rPr>
                </w:pPr>
                <w:r>
                  <w:rPr>
                    <w:rFonts w:ascii="宋体" w:eastAsia="宋体" w:hAnsi="宋体" w:cs="宋体" w:hint="eastAsia"/>
                    <w:sz w:val="28"/>
                    <w:szCs w:val="28"/>
                  </w:rPr>
                  <w:t>－</w:t>
                </w:r>
                <w:r w:rsidR="00685B81">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685B81">
                  <w:rPr>
                    <w:rFonts w:ascii="宋体" w:eastAsia="宋体" w:hAnsi="宋体" w:cs="宋体" w:hint="eastAsia"/>
                    <w:sz w:val="28"/>
                    <w:szCs w:val="28"/>
                  </w:rPr>
                  <w:fldChar w:fldCharType="separate"/>
                </w:r>
                <w:r w:rsidR="00D51DB8">
                  <w:rPr>
                    <w:rFonts w:ascii="宋体" w:eastAsia="宋体" w:hAnsi="宋体" w:cs="宋体"/>
                    <w:noProof/>
                    <w:sz w:val="28"/>
                    <w:szCs w:val="28"/>
                  </w:rPr>
                  <w:t>1</w:t>
                </w:r>
                <w:r w:rsidR="00685B81">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A7F" w:rsidRDefault="00CA0A7F" w:rsidP="00433A6A">
      <w:pPr>
        <w:spacing w:after="0"/>
      </w:pPr>
      <w:r>
        <w:separator/>
      </w:r>
    </w:p>
  </w:footnote>
  <w:footnote w:type="continuationSeparator" w:id="1">
    <w:p w:rsidR="00CA0A7F" w:rsidRDefault="00CA0A7F" w:rsidP="00433A6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evenAndOddHeaders/>
  <w:drawingGridHorizontalSpacing w:val="158"/>
  <w:drawingGridVerticalSpacing w:val="290"/>
  <w:displayHorizontalDrawingGridEvery w:val="2"/>
  <w:displayVertic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D31D50"/>
    <w:rsid w:val="00232F2E"/>
    <w:rsid w:val="00323B43"/>
    <w:rsid w:val="003D37D8"/>
    <w:rsid w:val="00426133"/>
    <w:rsid w:val="00433A6A"/>
    <w:rsid w:val="004358AB"/>
    <w:rsid w:val="005F6870"/>
    <w:rsid w:val="00685B81"/>
    <w:rsid w:val="008B7726"/>
    <w:rsid w:val="009722FE"/>
    <w:rsid w:val="00CA0A7F"/>
    <w:rsid w:val="00D05A55"/>
    <w:rsid w:val="00D31D50"/>
    <w:rsid w:val="00D51DB8"/>
    <w:rsid w:val="05053B2F"/>
    <w:rsid w:val="233D32EF"/>
    <w:rsid w:val="2D231445"/>
    <w:rsid w:val="492B7713"/>
    <w:rsid w:val="4E4D39EE"/>
    <w:rsid w:val="53807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A6A"/>
    <w:pPr>
      <w:adjustRightInd w:val="0"/>
      <w:snapToGrid w:val="0"/>
      <w:spacing w:after="200"/>
    </w:pPr>
    <w:rPr>
      <w:rFonts w:ascii="Tahoma" w:eastAsia="仿宋" w:hAnsi="Tahoma"/>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rsid w:val="00433A6A"/>
    <w:pPr>
      <w:tabs>
        <w:tab w:val="center" w:pos="4153"/>
        <w:tab w:val="right" w:pos="8306"/>
      </w:tabs>
    </w:pPr>
    <w:rPr>
      <w:sz w:val="18"/>
    </w:rPr>
  </w:style>
  <w:style w:type="paragraph" w:styleId="a4">
    <w:name w:val="header"/>
    <w:basedOn w:val="a"/>
    <w:uiPriority w:val="99"/>
    <w:unhideWhenUsed/>
    <w:rsid w:val="00433A6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styleId="a5">
    <w:name w:val="Hyperlink"/>
    <w:basedOn w:val="a0"/>
    <w:uiPriority w:val="99"/>
    <w:unhideWhenUsed/>
    <w:rsid w:val="00433A6A"/>
    <w:rPr>
      <w:color w:val="0000FF"/>
      <w:u w:val="non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w.npc.gov.cn:80/FLFG/flfgByID.action?txtid=1&amp;flfgID=219&amp;showDetailType=Q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hehe</dc:creator>
  <cp:lastModifiedBy>Windows 用户</cp:lastModifiedBy>
  <cp:revision>5</cp:revision>
  <dcterms:created xsi:type="dcterms:W3CDTF">2008-09-11T17:20:00Z</dcterms:created>
  <dcterms:modified xsi:type="dcterms:W3CDTF">2017-01-10T07:11:00Z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