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1514" w:tblpY="47"/>
        <w:tblOverlap w:val="never"/>
        <w:tblW w:w="8952" w:type="dxa"/>
        <w:tblCellSpacing w:w="15" w:type="dxa"/>
        <w:tblLayout w:type="fixed"/>
        <w:tblCellMar>
          <w:top w:w="15" w:type="dxa"/>
          <w:left w:w="15" w:type="dxa"/>
          <w:bottom w:w="15" w:type="dxa"/>
          <w:right w:w="15" w:type="dxa"/>
        </w:tblCellMar>
        <w:tblLook w:val="04A0"/>
      </w:tblPr>
      <w:tblGrid>
        <w:gridCol w:w="8952"/>
      </w:tblGrid>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Theme="majorEastAsia" w:eastAsiaTheme="majorEastAsia" w:hAnsiTheme="majorEastAsia" w:cstheme="majorEastAsia"/>
              </w:rPr>
            </w:pPr>
          </w:p>
          <w:p w:rsidR="007F06E2" w:rsidRDefault="007F06E2" w:rsidP="005B6549">
            <w:pPr>
              <w:snapToGrid/>
              <w:spacing w:after="0" w:line="300" w:lineRule="auto"/>
              <w:ind w:firstLineChars="200" w:firstLine="632"/>
              <w:jc w:val="both"/>
              <w:rPr>
                <w:rFonts w:ascii="仿宋" w:hAnsi="仿宋" w:cs="仿宋"/>
              </w:rPr>
            </w:pPr>
          </w:p>
          <w:p w:rsidR="007F06E2" w:rsidRDefault="00E15CFF">
            <w:pPr>
              <w:snapToGrid/>
              <w:spacing w:after="0" w:line="300" w:lineRule="auto"/>
              <w:jc w:val="center"/>
              <w:rPr>
                <w:rFonts w:ascii="仿宋" w:hAnsi="仿宋" w:cs="仿宋"/>
              </w:rPr>
            </w:pPr>
            <w:r>
              <w:rPr>
                <w:rFonts w:asciiTheme="majorEastAsia" w:eastAsiaTheme="majorEastAsia" w:hAnsiTheme="majorEastAsia" w:cstheme="majorEastAsia" w:hint="eastAsia"/>
                <w:sz w:val="44"/>
                <w:szCs w:val="44"/>
              </w:rPr>
              <w:t>吉林省技术市场管理条例</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仿宋" w:hAnsi="仿宋" w:cs="仿宋"/>
              </w:rPr>
            </w:pPr>
          </w:p>
          <w:p w:rsidR="007F06E2" w:rsidRDefault="00E15CFF">
            <w:pPr>
              <w:snapToGrid/>
              <w:spacing w:after="0" w:line="300" w:lineRule="auto"/>
              <w:ind w:left="638" w:rightChars="209" w:right="660" w:hangingChars="202" w:hanging="638"/>
              <w:jc w:val="both"/>
              <w:rPr>
                <w:rFonts w:ascii="楷体" w:eastAsia="楷体" w:hAnsi="楷体" w:cs="楷体"/>
              </w:rPr>
            </w:pPr>
            <w:r>
              <w:rPr>
                <w:rFonts w:ascii="楷体" w:eastAsia="楷体" w:hAnsi="楷体" w:cs="楷体" w:hint="eastAsia"/>
              </w:rPr>
              <w:t xml:space="preserve">　　</w:t>
            </w:r>
            <w:r>
              <w:rPr>
                <w:rFonts w:ascii="楷体" w:eastAsia="楷体" w:hAnsi="楷体" w:cs="楷体" w:hint="eastAsia"/>
              </w:rPr>
              <w:t>(1989</w:t>
            </w:r>
            <w:r>
              <w:rPr>
                <w:rFonts w:ascii="楷体" w:eastAsia="楷体" w:hAnsi="楷体" w:cs="楷体" w:hint="eastAsia"/>
              </w:rPr>
              <w:t>年</w:t>
            </w:r>
            <w:r>
              <w:rPr>
                <w:rFonts w:ascii="楷体" w:eastAsia="楷体" w:hAnsi="楷体" w:cs="楷体" w:hint="eastAsia"/>
              </w:rPr>
              <w:t>9</w:t>
            </w:r>
            <w:r>
              <w:rPr>
                <w:rFonts w:ascii="楷体" w:eastAsia="楷体" w:hAnsi="楷体" w:cs="楷体" w:hint="eastAsia"/>
              </w:rPr>
              <w:t>月</w:t>
            </w:r>
            <w:r>
              <w:rPr>
                <w:rFonts w:ascii="楷体" w:eastAsia="楷体" w:hAnsi="楷体" w:cs="楷体" w:hint="eastAsia"/>
              </w:rPr>
              <w:t>20</w:t>
            </w:r>
            <w:r>
              <w:rPr>
                <w:rFonts w:ascii="楷体" w:eastAsia="楷体" w:hAnsi="楷体" w:cs="楷体" w:hint="eastAsia"/>
              </w:rPr>
              <w:t>日吉林省第七届人民代表大会常务委员会第十一次会议通过</w:t>
            </w:r>
            <w:r>
              <w:rPr>
                <w:rFonts w:ascii="楷体" w:eastAsia="楷体" w:hAnsi="楷体" w:cs="楷体" w:hint="eastAsia"/>
              </w:rPr>
              <w:t xml:space="preserve"> </w:t>
            </w:r>
            <w:r>
              <w:rPr>
                <w:rFonts w:ascii="楷体" w:eastAsia="楷体" w:hAnsi="楷体" w:cs="楷体" w:hint="eastAsia"/>
              </w:rPr>
              <w:t>根据</w:t>
            </w:r>
            <w:r>
              <w:rPr>
                <w:rFonts w:ascii="楷体" w:eastAsia="楷体" w:hAnsi="楷体" w:cs="楷体" w:hint="eastAsia"/>
              </w:rPr>
              <w:t>1997</w:t>
            </w:r>
            <w:r>
              <w:rPr>
                <w:rFonts w:ascii="楷体" w:eastAsia="楷体" w:hAnsi="楷体" w:cs="楷体" w:hint="eastAsia"/>
              </w:rPr>
              <w:t>年</w:t>
            </w:r>
            <w:r>
              <w:rPr>
                <w:rFonts w:ascii="楷体" w:eastAsia="楷体" w:hAnsi="楷体" w:cs="楷体" w:hint="eastAsia"/>
              </w:rPr>
              <w:t>11</w:t>
            </w:r>
            <w:r>
              <w:rPr>
                <w:rFonts w:ascii="楷体" w:eastAsia="楷体" w:hAnsi="楷体" w:cs="楷体" w:hint="eastAsia"/>
              </w:rPr>
              <w:t>月</w:t>
            </w:r>
            <w:r>
              <w:rPr>
                <w:rFonts w:ascii="楷体" w:eastAsia="楷体" w:hAnsi="楷体" w:cs="楷体" w:hint="eastAsia"/>
              </w:rPr>
              <w:t>14</w:t>
            </w:r>
            <w:r>
              <w:rPr>
                <w:rFonts w:ascii="楷体" w:eastAsia="楷体" w:hAnsi="楷体" w:cs="楷体" w:hint="eastAsia"/>
              </w:rPr>
              <w:t>日吉林省第八届人民代表大会常务委员会第三十四次会议《吉林省人民代表大会常务委员会关于修改</w:t>
            </w:r>
            <w:r>
              <w:rPr>
                <w:rFonts w:ascii="楷体" w:eastAsia="楷体" w:hAnsi="楷体" w:cs="楷体" w:hint="eastAsia"/>
              </w:rPr>
              <w:t>&lt;</w:t>
            </w:r>
            <w:r>
              <w:rPr>
                <w:rFonts w:ascii="楷体" w:eastAsia="楷体" w:hAnsi="楷体" w:cs="楷体" w:hint="eastAsia"/>
              </w:rPr>
              <w:t>吉林省技术市场管理条例</w:t>
            </w:r>
            <w:r>
              <w:rPr>
                <w:rFonts w:ascii="楷体" w:eastAsia="楷体" w:hAnsi="楷体" w:cs="楷体" w:hint="eastAsia"/>
              </w:rPr>
              <w:t>&gt;</w:t>
            </w:r>
            <w:r>
              <w:rPr>
                <w:rFonts w:ascii="楷体" w:eastAsia="楷体" w:hAnsi="楷体" w:cs="楷体" w:hint="eastAsia"/>
              </w:rPr>
              <w:t>的决定》修改</w:t>
            </w:r>
            <w:r>
              <w:rPr>
                <w:rFonts w:ascii="楷体" w:eastAsia="楷体" w:hAnsi="楷体" w:cs="楷体" w:hint="eastAsia"/>
              </w:rPr>
              <w:t xml:space="preserve"> </w:t>
            </w:r>
            <w:r>
              <w:rPr>
                <w:rFonts w:ascii="楷体" w:eastAsia="楷体" w:hAnsi="楷体" w:cs="楷体" w:hint="eastAsia"/>
              </w:rPr>
              <w:t>根据</w:t>
            </w:r>
            <w:r>
              <w:rPr>
                <w:rFonts w:ascii="楷体" w:eastAsia="楷体" w:hAnsi="楷体" w:cs="楷体" w:hint="eastAsia"/>
              </w:rPr>
              <w:t>2001</w:t>
            </w:r>
            <w:r>
              <w:rPr>
                <w:rFonts w:ascii="楷体" w:eastAsia="楷体" w:hAnsi="楷体" w:cs="楷体" w:hint="eastAsia"/>
              </w:rPr>
              <w:t>年</w:t>
            </w:r>
            <w:r>
              <w:rPr>
                <w:rFonts w:ascii="楷体" w:eastAsia="楷体" w:hAnsi="楷体" w:cs="楷体" w:hint="eastAsia"/>
              </w:rPr>
              <w:t>1</w:t>
            </w:r>
            <w:r>
              <w:rPr>
                <w:rFonts w:ascii="楷体" w:eastAsia="楷体" w:hAnsi="楷体" w:cs="楷体" w:hint="eastAsia"/>
              </w:rPr>
              <w:t>月</w:t>
            </w:r>
            <w:r>
              <w:rPr>
                <w:rFonts w:ascii="楷体" w:eastAsia="楷体" w:hAnsi="楷体" w:cs="楷体" w:hint="eastAsia"/>
              </w:rPr>
              <w:t>12</w:t>
            </w:r>
            <w:r>
              <w:rPr>
                <w:rFonts w:ascii="楷体" w:eastAsia="楷体" w:hAnsi="楷体" w:cs="楷体" w:hint="eastAsia"/>
              </w:rPr>
              <w:t>日吉林省第九届人民代表大会常务委员会第二十一次会议《吉林省人民政府关于提请废止</w:t>
            </w:r>
            <w:r>
              <w:rPr>
                <w:rFonts w:ascii="楷体" w:eastAsia="楷体" w:hAnsi="楷体" w:cs="楷体" w:hint="eastAsia"/>
              </w:rPr>
              <w:t>5</w:t>
            </w:r>
            <w:r>
              <w:rPr>
                <w:rFonts w:ascii="楷体" w:eastAsia="楷体" w:hAnsi="楷体" w:cs="楷体" w:hint="eastAsia"/>
              </w:rPr>
              <w:t>件地方性法规、取消</w:t>
            </w:r>
            <w:r>
              <w:rPr>
                <w:rFonts w:ascii="楷体" w:eastAsia="楷体" w:hAnsi="楷体" w:cs="楷体" w:hint="eastAsia"/>
              </w:rPr>
              <w:t>27</w:t>
            </w:r>
            <w:r>
              <w:rPr>
                <w:rFonts w:ascii="楷体" w:eastAsia="楷体" w:hAnsi="楷体" w:cs="楷体" w:hint="eastAsia"/>
              </w:rPr>
              <w:t>件地方性法规中</w:t>
            </w:r>
            <w:r>
              <w:rPr>
                <w:rFonts w:ascii="楷体" w:eastAsia="楷体" w:hAnsi="楷体" w:cs="楷体" w:hint="eastAsia"/>
              </w:rPr>
              <w:t>60</w:t>
            </w:r>
            <w:r>
              <w:rPr>
                <w:rFonts w:ascii="楷体" w:eastAsia="楷体" w:hAnsi="楷体" w:cs="楷体" w:hint="eastAsia"/>
              </w:rPr>
              <w:t>项行政管理项目的议案》修改</w:t>
            </w:r>
            <w:r>
              <w:rPr>
                <w:rFonts w:ascii="楷体" w:eastAsia="楷体" w:hAnsi="楷体" w:cs="楷体" w:hint="eastAsia"/>
              </w:rPr>
              <w:t xml:space="preserve">  </w:t>
            </w:r>
            <w:r>
              <w:rPr>
                <w:rFonts w:ascii="楷体" w:eastAsia="楷体" w:hAnsi="楷体" w:cs="楷体" w:hint="eastAsia"/>
              </w:rPr>
              <w:t>根据</w:t>
            </w:r>
            <w:r>
              <w:rPr>
                <w:rFonts w:ascii="楷体" w:eastAsia="楷体" w:hAnsi="楷体" w:cs="楷体" w:hint="eastAsia"/>
              </w:rPr>
              <w:t>2002</w:t>
            </w:r>
            <w:r>
              <w:rPr>
                <w:rFonts w:ascii="楷体" w:eastAsia="楷体" w:hAnsi="楷体" w:cs="楷体" w:hint="eastAsia"/>
              </w:rPr>
              <w:t>年</w:t>
            </w:r>
            <w:r>
              <w:rPr>
                <w:rFonts w:ascii="楷体" w:eastAsia="楷体" w:hAnsi="楷体" w:cs="楷体" w:hint="eastAsia"/>
              </w:rPr>
              <w:t>11</w:t>
            </w:r>
            <w:r>
              <w:rPr>
                <w:rFonts w:ascii="楷体" w:eastAsia="楷体" w:hAnsi="楷体" w:cs="楷体" w:hint="eastAsia"/>
              </w:rPr>
              <w:t>月</w:t>
            </w:r>
            <w:r>
              <w:rPr>
                <w:rFonts w:ascii="楷体" w:eastAsia="楷体" w:hAnsi="楷体" w:cs="楷体" w:hint="eastAsia"/>
              </w:rPr>
              <w:t>28</w:t>
            </w:r>
            <w:r>
              <w:rPr>
                <w:rFonts w:ascii="楷体" w:eastAsia="楷体" w:hAnsi="楷体" w:cs="楷体" w:hint="eastAsia"/>
              </w:rPr>
              <w:t>日吉林省第九届人民代表大会常务委员会第三十四次会议《吉林省人民代表大会常务委员会关于修改</w:t>
            </w:r>
            <w:r>
              <w:rPr>
                <w:rFonts w:ascii="楷体" w:eastAsia="楷体" w:hAnsi="楷体" w:cs="楷体" w:hint="eastAsia"/>
              </w:rPr>
              <w:t>&lt;</w:t>
            </w:r>
            <w:r>
              <w:rPr>
                <w:rFonts w:ascii="楷体" w:eastAsia="楷体" w:hAnsi="楷体" w:cs="楷体" w:hint="eastAsia"/>
              </w:rPr>
              <w:t>吉林省文物保护管理条例</w:t>
            </w:r>
            <w:r>
              <w:rPr>
                <w:rFonts w:ascii="楷体" w:eastAsia="楷体" w:hAnsi="楷体" w:cs="楷体" w:hint="eastAsia"/>
              </w:rPr>
              <w:t>&gt;</w:t>
            </w:r>
            <w:r>
              <w:rPr>
                <w:rFonts w:ascii="楷体" w:eastAsia="楷体" w:hAnsi="楷体" w:cs="楷体" w:hint="eastAsia"/>
              </w:rPr>
              <w:t>等</w:t>
            </w:r>
            <w:r>
              <w:rPr>
                <w:rFonts w:ascii="楷体" w:eastAsia="楷体" w:hAnsi="楷体" w:cs="楷体" w:hint="eastAsia"/>
              </w:rPr>
              <w:t>14</w:t>
            </w:r>
            <w:r>
              <w:rPr>
                <w:rFonts w:ascii="楷体" w:eastAsia="楷体" w:hAnsi="楷体" w:cs="楷体" w:hint="eastAsia"/>
              </w:rPr>
              <w:t>部地方性法规的决定》修改</w:t>
            </w:r>
            <w:r>
              <w:rPr>
                <w:rFonts w:ascii="楷体" w:eastAsia="楷体" w:hAnsi="楷体" w:cs="楷体" w:hint="eastAsia"/>
              </w:rPr>
              <w:t xml:space="preserve"> </w:t>
            </w:r>
            <w:r>
              <w:rPr>
                <w:rFonts w:ascii="楷体" w:eastAsia="楷体" w:hAnsi="楷体" w:cs="楷体" w:hint="eastAsia"/>
              </w:rPr>
              <w:t>根据</w:t>
            </w:r>
            <w:r>
              <w:rPr>
                <w:rFonts w:ascii="楷体" w:eastAsia="楷体" w:hAnsi="楷体" w:cs="楷体" w:hint="eastAsia"/>
              </w:rPr>
              <w:t>2004</w:t>
            </w:r>
            <w:r>
              <w:rPr>
                <w:rFonts w:ascii="楷体" w:eastAsia="楷体" w:hAnsi="楷体" w:cs="楷体" w:hint="eastAsia"/>
              </w:rPr>
              <w:t>年</w:t>
            </w:r>
            <w:r>
              <w:rPr>
                <w:rFonts w:ascii="楷体" w:eastAsia="楷体" w:hAnsi="楷体" w:cs="楷体" w:hint="eastAsia"/>
              </w:rPr>
              <w:t>6</w:t>
            </w:r>
            <w:r>
              <w:rPr>
                <w:rFonts w:ascii="楷体" w:eastAsia="楷体" w:hAnsi="楷体" w:cs="楷体" w:hint="eastAsia"/>
              </w:rPr>
              <w:t>月</w:t>
            </w:r>
            <w:r>
              <w:rPr>
                <w:rFonts w:ascii="楷体" w:eastAsia="楷体" w:hAnsi="楷体" w:cs="楷体" w:hint="eastAsia"/>
              </w:rPr>
              <w:t>18</w:t>
            </w:r>
            <w:r>
              <w:rPr>
                <w:rFonts w:ascii="楷体" w:eastAsia="楷体" w:hAnsi="楷体" w:cs="楷体" w:hint="eastAsia"/>
              </w:rPr>
              <w:t>日吉林省第十届人民代表大会常务委员会第十一次会议《吉林省人民代表大会常务委员会关于废止和修改部分地方性法规的决定》修改</w:t>
            </w:r>
            <w:r>
              <w:rPr>
                <w:rFonts w:ascii="楷体" w:eastAsia="楷体" w:hAnsi="楷体" w:cs="楷体" w:hint="eastAsia"/>
              </w:rPr>
              <w:t>)</w:t>
            </w:r>
          </w:p>
          <w:p w:rsidR="007F06E2" w:rsidRDefault="007F06E2" w:rsidP="005B6549">
            <w:pPr>
              <w:snapToGrid/>
              <w:spacing w:after="0" w:line="300" w:lineRule="auto"/>
              <w:ind w:firstLineChars="200" w:firstLine="632"/>
              <w:jc w:val="both"/>
              <w:rPr>
                <w:rFonts w:ascii="楷体" w:eastAsia="楷体" w:hAnsi="楷体" w:cs="楷体"/>
              </w:rPr>
            </w:pPr>
          </w:p>
          <w:p w:rsidR="007F06E2" w:rsidRDefault="00E15CFF" w:rsidP="005B6549">
            <w:pPr>
              <w:snapToGrid/>
              <w:spacing w:after="0" w:line="300" w:lineRule="auto"/>
              <w:ind w:firstLineChars="200" w:firstLine="632"/>
              <w:jc w:val="center"/>
              <w:rPr>
                <w:rFonts w:ascii="楷体" w:eastAsia="楷体" w:hAnsi="楷体" w:cs="楷体"/>
              </w:rPr>
            </w:pPr>
            <w:r>
              <w:rPr>
                <w:rFonts w:ascii="楷体" w:eastAsia="楷体" w:hAnsi="楷体" w:cs="楷体" w:hint="eastAsia"/>
              </w:rPr>
              <w:t>目</w:t>
            </w:r>
            <w:r>
              <w:rPr>
                <w:rFonts w:ascii="楷体" w:eastAsia="楷体" w:hAnsi="楷体" w:cs="楷体" w:hint="eastAsia"/>
              </w:rPr>
              <w:t xml:space="preserve">  </w:t>
            </w:r>
            <w:r>
              <w:rPr>
                <w:rFonts w:ascii="楷体" w:eastAsia="楷体" w:hAnsi="楷体" w:cs="楷体" w:hint="eastAsia"/>
              </w:rPr>
              <w:t>录</w:t>
            </w:r>
          </w:p>
          <w:p w:rsidR="007F06E2" w:rsidRDefault="00E15CFF" w:rsidP="005B6549">
            <w:pPr>
              <w:snapToGrid/>
              <w:spacing w:after="0" w:line="300" w:lineRule="auto"/>
              <w:ind w:firstLineChars="200" w:firstLine="632"/>
              <w:jc w:val="both"/>
              <w:rPr>
                <w:rFonts w:ascii="楷体" w:eastAsia="楷体" w:hAnsi="楷体" w:cs="楷体"/>
              </w:rPr>
            </w:pPr>
            <w:r>
              <w:rPr>
                <w:rFonts w:ascii="楷体" w:eastAsia="楷体" w:hAnsi="楷体" w:cs="楷体" w:hint="eastAsia"/>
              </w:rPr>
              <w:t>第一章　总则</w:t>
            </w:r>
          </w:p>
          <w:p w:rsidR="007F06E2" w:rsidRDefault="00E15CFF" w:rsidP="005B6549">
            <w:pPr>
              <w:snapToGrid/>
              <w:spacing w:after="0" w:line="300" w:lineRule="auto"/>
              <w:ind w:firstLineChars="200" w:firstLine="632"/>
              <w:jc w:val="both"/>
              <w:rPr>
                <w:rFonts w:ascii="楷体" w:eastAsia="楷体" w:hAnsi="楷体" w:cs="楷体"/>
              </w:rPr>
            </w:pPr>
            <w:r>
              <w:rPr>
                <w:rFonts w:ascii="楷体" w:eastAsia="楷体" w:hAnsi="楷体" w:cs="楷体" w:hint="eastAsia"/>
              </w:rPr>
              <w:t xml:space="preserve">第二章　</w:t>
            </w:r>
            <w:r>
              <w:rPr>
                <w:rFonts w:ascii="楷体" w:eastAsia="楷体" w:hAnsi="楷体" w:cs="楷体" w:hint="eastAsia"/>
              </w:rPr>
              <w:t>技术市场交易范围</w:t>
            </w:r>
          </w:p>
          <w:p w:rsidR="007F06E2" w:rsidRDefault="00E15CFF" w:rsidP="005B6549">
            <w:pPr>
              <w:snapToGrid/>
              <w:spacing w:after="0" w:line="300" w:lineRule="auto"/>
              <w:ind w:firstLineChars="200" w:firstLine="632"/>
              <w:jc w:val="both"/>
              <w:rPr>
                <w:rFonts w:ascii="楷体" w:eastAsia="楷体" w:hAnsi="楷体" w:cs="楷体"/>
              </w:rPr>
            </w:pPr>
            <w:r>
              <w:rPr>
                <w:rFonts w:ascii="楷体" w:eastAsia="楷体" w:hAnsi="楷体" w:cs="楷体" w:hint="eastAsia"/>
              </w:rPr>
              <w:lastRenderedPageBreak/>
              <w:t xml:space="preserve">第三章　</w:t>
            </w:r>
            <w:r>
              <w:rPr>
                <w:rFonts w:ascii="楷体" w:eastAsia="楷体" w:hAnsi="楷体" w:cs="楷体" w:hint="eastAsia"/>
              </w:rPr>
              <w:t>技术市场管理机构</w:t>
            </w:r>
          </w:p>
          <w:p w:rsidR="007F06E2" w:rsidRDefault="00E15CFF" w:rsidP="005B6549">
            <w:pPr>
              <w:snapToGrid/>
              <w:spacing w:after="0" w:line="300" w:lineRule="auto"/>
              <w:ind w:firstLineChars="200" w:firstLine="632"/>
              <w:jc w:val="both"/>
              <w:rPr>
                <w:rFonts w:ascii="楷体" w:eastAsia="楷体" w:hAnsi="楷体" w:cs="楷体"/>
              </w:rPr>
            </w:pPr>
            <w:r>
              <w:rPr>
                <w:rFonts w:ascii="楷体" w:eastAsia="楷体" w:hAnsi="楷体" w:cs="楷体" w:hint="eastAsia"/>
              </w:rPr>
              <w:t xml:space="preserve">第四章　</w:t>
            </w:r>
            <w:r>
              <w:rPr>
                <w:rFonts w:ascii="楷体" w:eastAsia="楷体" w:hAnsi="楷体" w:cs="楷体" w:hint="eastAsia"/>
              </w:rPr>
              <w:t>技术开发咨询服务机构建立、变更与经营活动</w:t>
            </w:r>
          </w:p>
          <w:p w:rsidR="007F06E2" w:rsidRDefault="00E15CFF" w:rsidP="005B6549">
            <w:pPr>
              <w:snapToGrid/>
              <w:spacing w:after="0" w:line="300" w:lineRule="auto"/>
              <w:ind w:firstLineChars="200" w:firstLine="632"/>
              <w:jc w:val="both"/>
              <w:rPr>
                <w:rFonts w:ascii="楷体" w:eastAsia="楷体" w:hAnsi="楷体" w:cs="楷体"/>
              </w:rPr>
            </w:pPr>
            <w:r>
              <w:rPr>
                <w:rFonts w:ascii="楷体" w:eastAsia="楷体" w:hAnsi="楷体" w:cs="楷体" w:hint="eastAsia"/>
              </w:rPr>
              <w:t xml:space="preserve">第五章　</w:t>
            </w:r>
            <w:r>
              <w:rPr>
                <w:rFonts w:ascii="楷体" w:eastAsia="楷体" w:hAnsi="楷体" w:cs="楷体" w:hint="eastAsia"/>
              </w:rPr>
              <w:t>技术合同管理</w:t>
            </w:r>
          </w:p>
          <w:p w:rsidR="007F06E2" w:rsidRDefault="00E15CFF" w:rsidP="005B6549">
            <w:pPr>
              <w:snapToGrid/>
              <w:spacing w:after="0" w:line="300" w:lineRule="auto"/>
              <w:ind w:firstLineChars="200" w:firstLine="632"/>
              <w:jc w:val="both"/>
              <w:rPr>
                <w:rFonts w:ascii="楷体" w:eastAsia="楷体" w:hAnsi="楷体" w:cs="楷体"/>
              </w:rPr>
            </w:pPr>
            <w:r>
              <w:rPr>
                <w:rFonts w:ascii="楷体" w:eastAsia="楷体" w:hAnsi="楷体" w:cs="楷体" w:hint="eastAsia"/>
              </w:rPr>
              <w:t xml:space="preserve">第六章　</w:t>
            </w:r>
            <w:r>
              <w:rPr>
                <w:rFonts w:ascii="楷体" w:eastAsia="楷体" w:hAnsi="楷体" w:cs="楷体" w:hint="eastAsia"/>
              </w:rPr>
              <w:t>技术权益</w:t>
            </w:r>
          </w:p>
          <w:p w:rsidR="007F06E2" w:rsidRDefault="00E15CFF" w:rsidP="005B6549">
            <w:pPr>
              <w:snapToGrid/>
              <w:spacing w:after="0" w:line="300" w:lineRule="auto"/>
              <w:ind w:firstLineChars="200" w:firstLine="632"/>
              <w:jc w:val="both"/>
              <w:rPr>
                <w:rFonts w:ascii="楷体" w:eastAsia="楷体" w:hAnsi="楷体" w:cs="楷体"/>
              </w:rPr>
            </w:pPr>
            <w:r>
              <w:rPr>
                <w:rFonts w:ascii="楷体" w:eastAsia="楷体" w:hAnsi="楷体" w:cs="楷体" w:hint="eastAsia"/>
              </w:rPr>
              <w:t xml:space="preserve">第七章　</w:t>
            </w:r>
            <w:r>
              <w:rPr>
                <w:rFonts w:ascii="楷体" w:eastAsia="楷体" w:hAnsi="楷体" w:cs="楷体" w:hint="eastAsia"/>
              </w:rPr>
              <w:t>技术交易费用</w:t>
            </w:r>
          </w:p>
          <w:p w:rsidR="007F06E2" w:rsidRDefault="00E15CFF" w:rsidP="005B6549">
            <w:pPr>
              <w:snapToGrid/>
              <w:spacing w:after="0" w:line="300" w:lineRule="auto"/>
              <w:ind w:firstLineChars="200" w:firstLine="632"/>
              <w:jc w:val="both"/>
              <w:rPr>
                <w:rFonts w:ascii="楷体" w:eastAsia="楷体" w:hAnsi="楷体" w:cs="楷体"/>
              </w:rPr>
            </w:pPr>
            <w:r>
              <w:rPr>
                <w:rFonts w:ascii="楷体" w:eastAsia="楷体" w:hAnsi="楷体" w:cs="楷体" w:hint="eastAsia"/>
              </w:rPr>
              <w:t xml:space="preserve">第八章　</w:t>
            </w:r>
            <w:r>
              <w:rPr>
                <w:rFonts w:ascii="楷体" w:eastAsia="楷体" w:hAnsi="楷体" w:cs="楷体" w:hint="eastAsia"/>
              </w:rPr>
              <w:t>奖励与惩罚</w:t>
            </w:r>
          </w:p>
          <w:p w:rsidR="007F06E2" w:rsidRDefault="00E15CFF" w:rsidP="005B6549">
            <w:pPr>
              <w:snapToGrid/>
              <w:spacing w:after="0" w:line="300" w:lineRule="auto"/>
              <w:ind w:firstLineChars="200" w:firstLine="632"/>
              <w:jc w:val="both"/>
              <w:rPr>
                <w:rFonts w:ascii="楷体" w:eastAsia="楷体" w:hAnsi="楷体" w:cs="楷体"/>
              </w:rPr>
            </w:pPr>
            <w:r>
              <w:rPr>
                <w:rFonts w:ascii="楷体" w:eastAsia="楷体" w:hAnsi="楷体" w:cs="楷体" w:hint="eastAsia"/>
              </w:rPr>
              <w:t>第九章　附则</w:t>
            </w:r>
          </w:p>
          <w:p w:rsidR="007F06E2" w:rsidRDefault="007F06E2" w:rsidP="005B6549">
            <w:pPr>
              <w:snapToGrid/>
              <w:spacing w:after="0" w:line="300" w:lineRule="auto"/>
              <w:ind w:firstLineChars="200" w:firstLine="632"/>
              <w:jc w:val="both"/>
              <w:rPr>
                <w:rFonts w:ascii="仿宋" w:hAnsi="仿宋" w:cs="仿宋"/>
              </w:rPr>
            </w:pP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center"/>
              <w:rPr>
                <w:rFonts w:ascii="仿宋" w:hAnsi="仿宋" w:cs="仿宋"/>
              </w:rPr>
            </w:pPr>
            <w:r>
              <w:rPr>
                <w:rFonts w:ascii="黑体" w:eastAsia="黑体" w:hAnsi="黑体" w:cs="黑体" w:hint="eastAsia"/>
              </w:rPr>
              <w:lastRenderedPageBreak/>
              <w:t>第一章　总则</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仿宋" w:hAnsi="仿宋" w:cs="仿宋"/>
              </w:rPr>
            </w:pPr>
          </w:p>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第一条</w:t>
            </w:r>
            <w:r>
              <w:rPr>
                <w:rFonts w:ascii="仿宋" w:hAnsi="仿宋" w:cs="仿宋" w:hint="eastAsia"/>
              </w:rPr>
              <w:t xml:space="preserve">　为了繁荣技术市场，加强技术市场管理，维护技术市场的秩序，促进科学技术与经济紧密结合，保障技术交易当事人的合法权益，根据国家有关法律、法规，结合我省实际情况，制定本条例。</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第二条</w:t>
            </w:r>
            <w:r>
              <w:rPr>
                <w:rFonts w:ascii="仿宋" w:hAnsi="仿宋" w:cs="仿宋" w:hint="eastAsia"/>
              </w:rPr>
              <w:t xml:space="preserve">　凡在本省境内发生的技术交易和与技术交易有关的活动，均适用本条例。</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第三条</w:t>
            </w:r>
            <w:r>
              <w:rPr>
                <w:rFonts w:ascii="仿宋" w:hAnsi="仿宋" w:cs="仿宋" w:hint="eastAsia"/>
              </w:rPr>
              <w:t xml:space="preserve">　技术交易活动必须遵循平等自愿、互利有偿和诚实信用的原则。技术交易当事人的合法权益受法律保护。</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第四条</w:t>
            </w:r>
            <w:r>
              <w:rPr>
                <w:rFonts w:ascii="仿宋" w:hAnsi="仿宋" w:cs="仿宋" w:hint="eastAsia"/>
              </w:rPr>
              <w:t xml:space="preserve">　技术市场实行“统一管理、多家经营”，坚持“放开、搞活、扶植、引导”的方针。法人之间、法人与公民之间、公民之间均可依法进行技术交易活动，不受地区、部门、隶属关系和所有制形式的限制。鼓励开展多形式、多渠道、多层次的技术交易活动。</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center"/>
              <w:rPr>
                <w:rFonts w:ascii="黑体" w:eastAsia="黑体" w:hAnsi="黑体" w:cs="黑体"/>
              </w:rPr>
            </w:pPr>
            <w:r>
              <w:rPr>
                <w:rFonts w:ascii="黑体" w:eastAsia="黑体" w:hAnsi="黑体" w:cs="黑体" w:hint="eastAsia"/>
              </w:rPr>
              <w:t>第二章　技术市场交易范围</w:t>
            </w:r>
          </w:p>
          <w:p w:rsidR="007F06E2" w:rsidRDefault="007F06E2" w:rsidP="005B6549">
            <w:pPr>
              <w:snapToGrid/>
              <w:spacing w:after="0" w:line="300" w:lineRule="auto"/>
              <w:ind w:firstLineChars="200" w:firstLine="632"/>
              <w:jc w:val="center"/>
              <w:rPr>
                <w:rFonts w:ascii="黑体" w:eastAsia="黑体" w:hAnsi="黑体" w:cs="黑体"/>
              </w:rPr>
            </w:pP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第五条</w:t>
            </w:r>
            <w:r>
              <w:rPr>
                <w:rFonts w:ascii="仿宋" w:hAnsi="仿宋" w:cs="仿宋" w:hint="eastAsia"/>
              </w:rPr>
              <w:t xml:space="preserve">　技术市场的交易范围包括技术开发、技术转让、技术咨询、技术服务等多种形式的技术交易活动。</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第六条</w:t>
            </w:r>
            <w:r>
              <w:rPr>
                <w:rFonts w:ascii="仿宋" w:hAnsi="仿宋" w:cs="仿宋" w:hint="eastAsia"/>
              </w:rPr>
              <w:t xml:space="preserve">　涉及国家安全或者重大利益需要保密的技术，</w:t>
            </w:r>
            <w:r>
              <w:rPr>
                <w:rFonts w:ascii="仿宋" w:hAnsi="仿宋" w:cs="仿宋" w:hint="eastAsia"/>
              </w:rPr>
              <w:t>其转让按照国家有关规定办理。</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第七条</w:t>
            </w:r>
            <w:r>
              <w:rPr>
                <w:rFonts w:ascii="仿宋" w:hAnsi="仿宋" w:cs="仿宋" w:hint="eastAsia"/>
              </w:rPr>
              <w:t xml:space="preserve">　下列技术不得进入技术市场</w:t>
            </w:r>
            <w:r>
              <w:rPr>
                <w:rFonts w:ascii="仿宋" w:hAnsi="仿宋" w:cs="仿宋" w:hint="eastAsia"/>
              </w:rPr>
              <w:t>:</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一、国家法律、法规禁止的；</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二、损害国家利益和社会公共利益的；</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三、侵犯单位或他人合法权益的。</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第八条</w:t>
            </w:r>
            <w:r>
              <w:rPr>
                <w:rFonts w:ascii="仿宋" w:hAnsi="仿宋" w:cs="仿宋" w:hint="eastAsia"/>
              </w:rPr>
              <w:t xml:space="preserve">　下列情况不属于技术交易范围</w:t>
            </w:r>
            <w:r>
              <w:rPr>
                <w:rFonts w:ascii="仿宋" w:hAnsi="仿宋" w:cs="仿宋" w:hint="eastAsia"/>
              </w:rPr>
              <w:t>:</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一、以常规手段或者以生产经营为目的进行的一般加工、定作、修缮、修理、印刷、广告、翻译、测绘、标准化测试等项目；</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二、建设工程的勘察、设计、施工、安装；</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三、与技术软件相配套，非自己研制的硬件加工、修理、装配与销售；</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四、其它不属于技术开发、技术转让、技术咨询、技术服务的交易活动。</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第九条</w:t>
            </w:r>
            <w:r>
              <w:rPr>
                <w:rFonts w:ascii="仿宋" w:hAnsi="仿宋" w:cs="仿宋" w:hint="eastAsia"/>
              </w:rPr>
              <w:t xml:space="preserve">　技术商品的表现形式可以是图纸、资料（包括音像资料）、科技信息、技术管理方案、计算机软件、技术咨询报告、技术论证报告，以及为受让方掌握制造技术而提供的样品、</w:t>
            </w:r>
            <w:r>
              <w:rPr>
                <w:rFonts w:ascii="仿宋" w:hAnsi="仿宋" w:cs="仿宋" w:hint="eastAsia"/>
              </w:rPr>
              <w:lastRenderedPageBreak/>
              <w:t>样机、新品种等。</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center"/>
              <w:rPr>
                <w:rFonts w:ascii="黑体" w:eastAsia="黑体" w:hAnsi="黑体" w:cs="黑体"/>
              </w:rPr>
            </w:pPr>
            <w:r>
              <w:rPr>
                <w:rFonts w:ascii="黑体" w:eastAsia="黑体" w:hAnsi="黑体" w:cs="黑体" w:hint="eastAsia"/>
              </w:rPr>
              <w:t>第三章　技术市场管理机构</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仿宋" w:hAnsi="仿宋" w:cs="仿宋"/>
              </w:rPr>
            </w:pPr>
          </w:p>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第十条</w:t>
            </w:r>
            <w:r>
              <w:rPr>
                <w:rFonts w:ascii="仿宋" w:hAnsi="仿宋" w:cs="仿宋" w:hint="eastAsia"/>
              </w:rPr>
              <w:t xml:space="preserve">　县以上各级科学技术管理部门是同级人民政府技术市场的行政主管部门。</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各级工商行政管理部门根据其职责对技术市场进行管理和监督。</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第十一条</w:t>
            </w:r>
            <w:r>
              <w:rPr>
                <w:rFonts w:ascii="仿宋" w:hAnsi="仿宋" w:cs="仿宋" w:hint="eastAsia"/>
              </w:rPr>
              <w:t xml:space="preserve">　各级科学技术管理部门管理技术市场的主要职责是</w:t>
            </w:r>
            <w:r>
              <w:rPr>
                <w:rFonts w:ascii="仿宋" w:hAnsi="仿宋" w:cs="仿宋" w:hint="eastAsia"/>
              </w:rPr>
              <w:t>:</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一、贯彻国家、省有关技术市场法律、法规和政策，结合本地实际情况制定本地区有关技术市场的政策和管理措施；</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二、技术开发咨询服务机构的备案、统计调查和分析；</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三、技术合同的认定、登记，技术市场的统计和分析；</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sidRPr="005B6549">
              <w:rPr>
                <w:rFonts w:ascii="仿宋" w:hAnsi="仿宋" w:cs="仿宋" w:hint="eastAsia"/>
              </w:rPr>
              <w:t>四、技术开发、技术转让、技术咨询、技术服务奖金的审批；</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五、技术市场交易活动的检查、监督和指导；</w:t>
            </w:r>
          </w:p>
        </w:tc>
      </w:tr>
      <w:tr w:rsidR="007F06E2">
        <w:trPr>
          <w:trHeight w:val="375"/>
          <w:tblCellSpacing w:w="15" w:type="dxa"/>
        </w:trPr>
        <w:tc>
          <w:tcPr>
            <w:tcW w:w="8892" w:type="dxa"/>
            <w:vAlign w:val="center"/>
          </w:tcPr>
          <w:p w:rsidR="007F06E2" w:rsidRPr="005B6549" w:rsidRDefault="00E15CFF" w:rsidP="005B6549">
            <w:pPr>
              <w:snapToGrid/>
              <w:spacing w:after="0" w:line="300" w:lineRule="auto"/>
              <w:ind w:firstLineChars="200" w:firstLine="632"/>
              <w:jc w:val="both"/>
              <w:rPr>
                <w:rFonts w:ascii="仿宋" w:hAnsi="仿宋" w:cs="仿宋"/>
              </w:rPr>
            </w:pPr>
            <w:r w:rsidRPr="005B6549">
              <w:rPr>
                <w:rFonts w:ascii="仿宋" w:hAnsi="仿宋" w:cs="仿宋" w:hint="eastAsia"/>
              </w:rPr>
              <w:t>六、培训技术市场管理人员和经营人员；</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七、组织、协调大型技术交易活动。</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第十二条</w:t>
            </w:r>
            <w:r>
              <w:rPr>
                <w:rFonts w:ascii="仿宋" w:hAnsi="仿宋" w:cs="仿宋" w:hint="eastAsia"/>
              </w:rPr>
              <w:t xml:space="preserve">　各级工商行政管理部门管理技术市场的主要职责是</w:t>
            </w:r>
            <w:r>
              <w:rPr>
                <w:rFonts w:ascii="仿宋" w:hAnsi="仿宋" w:cs="仿宋" w:hint="eastAsia"/>
              </w:rPr>
              <w:t>:</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一、负责技术开发咨询服务机构的登记、注册；</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lastRenderedPageBreak/>
              <w:t>二、技术合同鉴证；</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三、查处技术交易中的违法活动；</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四、监督、检查技术合同的订立和履行；</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五、确认无效技术合同。</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center"/>
              <w:rPr>
                <w:rFonts w:ascii="仿宋" w:hAnsi="仿宋" w:cs="仿宋"/>
              </w:rPr>
            </w:pPr>
            <w:r>
              <w:rPr>
                <w:rFonts w:ascii="黑体" w:eastAsia="黑体" w:hAnsi="黑体" w:cs="黑体" w:hint="eastAsia"/>
              </w:rPr>
              <w:t>第四章　技术开发咨询服务机构建立、变更与经营活动</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第十三条</w:t>
            </w:r>
            <w:r>
              <w:rPr>
                <w:rFonts w:ascii="仿宋" w:hAnsi="仿宋" w:cs="仿宋" w:hint="eastAsia"/>
              </w:rPr>
              <w:t xml:space="preserve">　成立技术开发咨询服务机构，须具备下列条件</w:t>
            </w:r>
            <w:r>
              <w:rPr>
                <w:rFonts w:ascii="仿宋" w:hAnsi="仿宋" w:cs="仿宋" w:hint="eastAsia"/>
              </w:rPr>
              <w:t>:</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一、有明确的经营方向和业务范围；</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二、有与业务范围相适应的专职科技人员和管理人员；</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三、有与业务范围相适应并能独立支配的财产和经费；</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四、有固定工作场所和必要的工作条件；</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五、有具体章程。</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私营和个体技术开发咨询服务机构中的专职科技人员必须是已经离退休、离退职和辞职等非在职公民，其财产和经费必须是本人或个人合伙的。</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第十四条</w:t>
            </w:r>
            <w:r>
              <w:rPr>
                <w:rFonts w:ascii="仿宋" w:hAnsi="仿宋" w:cs="仿宋" w:hint="eastAsia"/>
              </w:rPr>
              <w:t xml:space="preserve">　技术开发咨询服务机构的建立、分立、合并、迁移、注销、破产及业务范围和所有制性质的变更，应当到当地县以上科学技术管理部门备案。</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第十五条</w:t>
            </w:r>
            <w:r>
              <w:rPr>
                <w:rFonts w:ascii="仿宋" w:hAnsi="仿宋" w:cs="仿宋" w:hint="eastAsia"/>
              </w:rPr>
              <w:t xml:space="preserve">　技术开发咨询服务机构应从事技术开发或技术转让、技术咨询、技术服务等活动，可以兼营与上述活动有关的生产活动和经销自产的产品。</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 xml:space="preserve">第十六条　</w:t>
            </w:r>
            <w:r>
              <w:rPr>
                <w:rFonts w:ascii="仿宋" w:hAnsi="仿宋" w:cs="仿宋" w:hint="eastAsia"/>
              </w:rPr>
              <w:t>技术市场交易活动统一使用由省税务部门监制的技术交易发货票。技术交易单位凭当地县以上科学技术管理部门的证明，到同级税务部门申领。</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第十七条</w:t>
            </w:r>
            <w:r>
              <w:rPr>
                <w:rFonts w:ascii="仿宋" w:hAnsi="仿宋" w:cs="仿宋" w:hint="eastAsia"/>
              </w:rPr>
              <w:t xml:space="preserve">　各单位应将技术交易收入同生产所得及其它非技术经营所得分别记帐，并严格执行国家财务管理制度。</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center"/>
              <w:rPr>
                <w:rFonts w:ascii="黑体" w:eastAsia="黑体" w:hAnsi="黑体" w:cs="黑体"/>
              </w:rPr>
            </w:pPr>
            <w:r>
              <w:rPr>
                <w:rFonts w:ascii="黑体" w:eastAsia="黑体" w:hAnsi="黑体" w:cs="黑体" w:hint="eastAsia"/>
              </w:rPr>
              <w:t>第五章　技术合同管理</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第十八条</w:t>
            </w:r>
            <w:r>
              <w:rPr>
                <w:rFonts w:ascii="仿宋" w:hAnsi="仿宋" w:cs="仿宋" w:hint="eastAsia"/>
              </w:rPr>
              <w:t xml:space="preserve">　省内订立的技术合同，一律使用省科学技术管理部门和省工商行政管理部门统一制订的技术合同文本。</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第十九条</w:t>
            </w:r>
            <w:r>
              <w:rPr>
                <w:rFonts w:ascii="仿宋" w:hAnsi="仿宋" w:cs="仿宋" w:hint="eastAsia"/>
              </w:rPr>
              <w:t xml:space="preserve">　技术合同订立后，由研究开发方（或出让方、咨询方、服务方）报所在地县以上的科学技术管理部门或由其委托的部门认定、登记。对于符合法律规定的技术合同，按照合同类型分类登记，核定技术性收入总额，发给技术合同登记证明，对非技术合同不予登记。</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进行技术交易的当事人可凭技术合同登记机关出具的登记证明，向有关专业银行申请科技贷款，向税务部门申请减免税收。</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第二十条</w:t>
            </w:r>
            <w:r>
              <w:rPr>
                <w:rFonts w:ascii="仿宋" w:hAnsi="仿宋" w:cs="仿宋" w:hint="eastAsia"/>
              </w:rPr>
              <w:t xml:space="preserve">　技术合同的订立、履行、变更、解除等，依照</w:t>
            </w:r>
            <w:hyperlink r:id="rId7" w:history="1">
              <w:r>
                <w:rPr>
                  <w:rFonts w:ascii="仿宋" w:hAnsi="仿宋" w:cs="仿宋" w:hint="eastAsia"/>
                </w:rPr>
                <w:t>《中华人民共和国合同法》</w:t>
              </w:r>
            </w:hyperlink>
            <w:r>
              <w:rPr>
                <w:rFonts w:ascii="仿宋" w:hAnsi="仿宋" w:cs="仿宋" w:hint="eastAsia"/>
              </w:rPr>
              <w:t>和国家有关法律、法规执行。</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禁止弄虚作假、订立假技术合同。</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第二十一条</w:t>
            </w:r>
            <w:r>
              <w:rPr>
                <w:rFonts w:ascii="仿宋" w:hAnsi="仿宋" w:cs="仿宋" w:hint="eastAsia"/>
              </w:rPr>
              <w:t xml:space="preserve">　技术合同实行自愿鉴证和公证。</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第二十二条</w:t>
            </w:r>
            <w:r>
              <w:rPr>
                <w:rFonts w:ascii="仿宋" w:hAnsi="仿宋" w:cs="仿宋" w:hint="eastAsia"/>
              </w:rPr>
              <w:t xml:space="preserve">　技术合同发生争议时，按国家法律和有关规定执行。</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center"/>
              <w:rPr>
                <w:rFonts w:ascii="仿宋" w:hAnsi="仿宋" w:cs="仿宋"/>
              </w:rPr>
            </w:pPr>
            <w:r>
              <w:rPr>
                <w:rFonts w:ascii="黑体" w:eastAsia="黑体" w:hAnsi="黑体" w:cs="黑体" w:hint="eastAsia"/>
              </w:rPr>
              <w:t>第六章　技术权益</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第二十三条</w:t>
            </w:r>
            <w:r>
              <w:rPr>
                <w:rFonts w:ascii="仿宋" w:hAnsi="仿宋" w:cs="仿宋" w:hint="eastAsia"/>
              </w:rPr>
              <w:t xml:space="preserve">　执行国家和上级部门的计划研究、开发的技术成果，除保证按照计划规定推广应用外，完成单位在转让时需经下达计划部门批准，完成单位可以自行转让，其转让收入归完成单位。</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第二十四条</w:t>
            </w:r>
            <w:r>
              <w:rPr>
                <w:rFonts w:ascii="仿宋" w:hAnsi="仿宋" w:cs="仿宋" w:hint="eastAsia"/>
              </w:rPr>
              <w:t xml:space="preserve">　根据本单位计划研究开发的技术，单位可自行转让，其转让收入归单位。</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第二十五条</w:t>
            </w:r>
            <w:r>
              <w:rPr>
                <w:rFonts w:ascii="仿宋" w:hAnsi="仿宋" w:cs="仿宋" w:hint="eastAsia"/>
              </w:rPr>
              <w:t xml:space="preserve">　职工或课题组在完成本职工作任务，不侵犯本单位技术权益和经济利益的前提下，经所在单位审查认定，属于自行研究开发的技术，其转让收入归职工本人或课题组；使用本单位原材料、设备、技术资料的，应当按照事先同本单位达成的协议支付使用费。</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第二十六条</w:t>
            </w:r>
            <w:r>
              <w:rPr>
                <w:rFonts w:ascii="仿宋" w:hAnsi="仿宋" w:cs="仿宋" w:hint="eastAsia"/>
              </w:rPr>
              <w:t xml:space="preserve">　接受其它单位委托</w:t>
            </w:r>
            <w:r>
              <w:rPr>
                <w:rFonts w:ascii="仿宋" w:hAnsi="仿宋" w:cs="仿宋" w:hint="eastAsia"/>
              </w:rPr>
              <w:t>研究开发的技术，其权益按照委托合同约定的条件办理。</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center"/>
              <w:rPr>
                <w:rFonts w:ascii="仿宋" w:hAnsi="仿宋" w:cs="仿宋"/>
              </w:rPr>
            </w:pPr>
            <w:r>
              <w:rPr>
                <w:rFonts w:ascii="黑体" w:eastAsia="黑体" w:hAnsi="黑体" w:cs="黑体" w:hint="eastAsia"/>
              </w:rPr>
              <w:t>第七章　技术交易费用</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第二十七条</w:t>
            </w:r>
            <w:r>
              <w:rPr>
                <w:rFonts w:ascii="仿宋" w:hAnsi="仿宋" w:cs="仿宋" w:hint="eastAsia"/>
              </w:rPr>
              <w:t xml:space="preserve">　技术商品的价格，实行市场调节，由交易双方协商议定。可以一次总算，一次总付或者分期支付，可以按照技术实施后新增销售额或利润的一定比例提成，也可以按照双方商定的其它办法支付。</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第二十八条</w:t>
            </w:r>
            <w:r>
              <w:rPr>
                <w:rFonts w:ascii="仿宋" w:hAnsi="仿宋" w:cs="仿宋" w:hint="eastAsia"/>
              </w:rPr>
              <w:t xml:space="preserve">　企业单位、事业单位支付的技术交易价款、使用费和报酬，按国家和省有关规定执行。</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第二十九条</w:t>
            </w:r>
            <w:r>
              <w:rPr>
                <w:rFonts w:ascii="仿宋" w:hAnsi="仿宋" w:cs="仿宋" w:hint="eastAsia"/>
              </w:rPr>
              <w:t xml:space="preserve">　促成技术交易的中介方，有权收取合理中介报酬。技术受让方支付的中介报酬计入成交项目的价款，技术出让方支付的中介报酬在成交项目的收入中列支。</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第三十条</w:t>
            </w:r>
            <w:r>
              <w:rPr>
                <w:rFonts w:ascii="仿宋" w:hAnsi="仿宋" w:cs="仿宋" w:hint="eastAsia"/>
              </w:rPr>
              <w:t xml:space="preserve">　全民、集体所有制企业单位和事业单位的技术交易收入，上级领导机关或其它部门不得抽调。</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center"/>
              <w:rPr>
                <w:rFonts w:ascii="仿宋" w:hAnsi="仿宋" w:cs="仿宋"/>
              </w:rPr>
            </w:pPr>
            <w:r>
              <w:rPr>
                <w:rFonts w:ascii="黑体" w:eastAsia="黑体" w:hAnsi="黑体" w:cs="黑体" w:hint="eastAsia"/>
              </w:rPr>
              <w:t>第八章　奖励与惩罚</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第三十一条</w:t>
            </w:r>
            <w:r>
              <w:rPr>
                <w:rFonts w:ascii="仿宋" w:hAnsi="仿宋" w:cs="仿宋" w:hint="eastAsia"/>
              </w:rPr>
              <w:t xml:space="preserve">　全民、集体所有制企业单位和事业单位以及技术开发咨询服务机构可从技术交易净收入中提取一定比例的奖励费用，用于奖励技术交易中的成果完成者。具体提取办法和比例按省统一规定执行。</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第三十二条</w:t>
            </w:r>
            <w:r>
              <w:rPr>
                <w:rFonts w:ascii="仿宋" w:hAnsi="仿宋" w:cs="仿宋" w:hint="eastAsia"/>
              </w:rPr>
              <w:t xml:space="preserve">　全民、集体所有制企业单位和事业单位对于在技术交易中帮助受让方切实掌握转让技术的有功人员，应当给予奖励。</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第三十三条</w:t>
            </w:r>
            <w:r>
              <w:rPr>
                <w:rFonts w:ascii="仿宋" w:hAnsi="仿宋" w:cs="仿宋" w:hint="eastAsia"/>
              </w:rPr>
              <w:t xml:space="preserve">　违反本条例有下列行为之一的，由科学技术管理部门按下列规定处罚</w:t>
            </w:r>
            <w:r>
              <w:rPr>
                <w:rFonts w:ascii="仿宋" w:hAnsi="仿宋" w:cs="仿宋" w:hint="eastAsia"/>
              </w:rPr>
              <w:t>:</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一</w:t>
            </w:r>
            <w:r>
              <w:rPr>
                <w:rFonts w:ascii="仿宋" w:hAnsi="仿宋" w:cs="仿宋" w:hint="eastAsia"/>
              </w:rPr>
              <w:t>、</w:t>
            </w:r>
            <w:r>
              <w:rPr>
                <w:rFonts w:ascii="仿宋" w:hAnsi="仿宋" w:cs="仿宋" w:hint="eastAsia"/>
              </w:rPr>
              <w:t>以虚</w:t>
            </w:r>
            <w:r>
              <w:rPr>
                <w:rFonts w:ascii="仿宋" w:hAnsi="仿宋" w:cs="仿宋" w:hint="eastAsia"/>
              </w:rPr>
              <w:t>假技术或者危害</w:t>
            </w:r>
            <w:r w:rsidRPr="005B6549">
              <w:rPr>
                <w:rFonts w:ascii="仿宋" w:hAnsi="仿宋" w:cs="仿宋" w:hint="eastAsia"/>
              </w:rPr>
              <w:t>社会公共利益的技术进行交易的，没收违法所得，并处以违法所得</w:t>
            </w:r>
            <w:r w:rsidRPr="005B6549">
              <w:rPr>
                <w:rFonts w:ascii="仿宋" w:hAnsi="仿宋" w:cs="仿宋" w:hint="eastAsia"/>
              </w:rPr>
              <w:t>1</w:t>
            </w:r>
            <w:r w:rsidRPr="005B6549">
              <w:rPr>
                <w:rFonts w:ascii="仿宋" w:hAnsi="仿宋" w:cs="仿宋" w:hint="eastAsia"/>
              </w:rPr>
              <w:t>倍以上</w:t>
            </w:r>
            <w:r w:rsidRPr="005B6549">
              <w:rPr>
                <w:rFonts w:ascii="仿宋" w:hAnsi="仿宋" w:cs="仿宋" w:hint="eastAsia"/>
              </w:rPr>
              <w:t>3</w:t>
            </w:r>
            <w:r>
              <w:rPr>
                <w:rFonts w:ascii="仿宋" w:hAnsi="仿宋" w:cs="仿宋" w:hint="eastAsia"/>
              </w:rPr>
              <w:t>倍以下的罚款；</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仿宋" w:hAnsi="仿宋" w:cs="仿宋" w:hint="eastAsia"/>
              </w:rPr>
              <w:t>二</w:t>
            </w:r>
            <w:r>
              <w:rPr>
                <w:rFonts w:ascii="仿宋" w:hAnsi="仿宋" w:cs="仿宋" w:hint="eastAsia"/>
              </w:rPr>
              <w:t>、</w:t>
            </w:r>
            <w:r>
              <w:rPr>
                <w:rFonts w:ascii="仿宋" w:hAnsi="仿宋" w:cs="仿宋" w:hint="eastAsia"/>
              </w:rPr>
              <w:t>技术开发咨询服务机构、技术中介人提供虚假技术信息，隐瞒当事人真实情况或者与一方当事人恶意串通损害另一方</w:t>
            </w:r>
            <w:r>
              <w:rPr>
                <w:rFonts w:ascii="仿宋" w:hAnsi="仿宋" w:cs="仿宋" w:hint="eastAsia"/>
              </w:rPr>
              <w:lastRenderedPageBreak/>
              <w:t>当事人利益的，没收违法所得，可以并处违法所得</w:t>
            </w:r>
            <w:r>
              <w:rPr>
                <w:rFonts w:ascii="仿宋" w:hAnsi="仿宋" w:cs="仿宋" w:hint="eastAsia"/>
              </w:rPr>
              <w:t>1</w:t>
            </w:r>
            <w:r>
              <w:rPr>
                <w:rFonts w:ascii="仿宋" w:hAnsi="仿宋" w:cs="仿宋" w:hint="eastAsia"/>
              </w:rPr>
              <w:t>倍以上</w:t>
            </w:r>
            <w:r>
              <w:rPr>
                <w:rFonts w:ascii="仿宋" w:hAnsi="仿宋" w:cs="仿宋" w:hint="eastAsia"/>
              </w:rPr>
              <w:t>3</w:t>
            </w:r>
            <w:r>
              <w:rPr>
                <w:rFonts w:ascii="仿宋" w:hAnsi="仿宋" w:cs="仿宋" w:hint="eastAsia"/>
              </w:rPr>
              <w:t>倍以下的罚款；</w:t>
            </w:r>
          </w:p>
        </w:tc>
      </w:tr>
      <w:tr w:rsidR="007F06E2">
        <w:trPr>
          <w:trHeight w:val="375"/>
          <w:tblCellSpacing w:w="15" w:type="dxa"/>
        </w:trPr>
        <w:tc>
          <w:tcPr>
            <w:tcW w:w="8892" w:type="dxa"/>
            <w:vAlign w:val="center"/>
          </w:tcPr>
          <w:p w:rsidR="007F06E2" w:rsidRPr="005B6549" w:rsidRDefault="00E15CFF" w:rsidP="005B6549">
            <w:pPr>
              <w:snapToGrid/>
              <w:spacing w:after="0" w:line="300" w:lineRule="auto"/>
              <w:ind w:firstLineChars="200" w:firstLine="632"/>
              <w:jc w:val="both"/>
              <w:rPr>
                <w:rFonts w:ascii="仿宋" w:hAnsi="仿宋" w:cs="仿宋"/>
              </w:rPr>
            </w:pPr>
            <w:r w:rsidRPr="005B6549">
              <w:rPr>
                <w:rFonts w:ascii="仿宋" w:hAnsi="仿宋" w:cs="仿宋" w:hint="eastAsia"/>
              </w:rPr>
              <w:lastRenderedPageBreak/>
              <w:t>三</w:t>
            </w:r>
            <w:r w:rsidRPr="005B6549">
              <w:rPr>
                <w:rFonts w:ascii="仿宋" w:hAnsi="仿宋" w:cs="仿宋" w:hint="eastAsia"/>
              </w:rPr>
              <w:t>、</w:t>
            </w:r>
            <w:r w:rsidRPr="005B6549">
              <w:rPr>
                <w:rFonts w:ascii="仿宋" w:hAnsi="仿宋" w:cs="仿宋" w:hint="eastAsia"/>
              </w:rPr>
              <w:t>技术开发咨询服务机构未按规定参加技术资格年度审查的，责令限期改正；拒不改正的，处以</w:t>
            </w:r>
            <w:r w:rsidRPr="005B6549">
              <w:rPr>
                <w:rFonts w:ascii="仿宋" w:hAnsi="仿宋" w:cs="仿宋" w:hint="eastAsia"/>
              </w:rPr>
              <w:t>1000</w:t>
            </w:r>
            <w:r w:rsidRPr="005B6549">
              <w:rPr>
                <w:rFonts w:ascii="仿宋" w:hAnsi="仿宋" w:cs="仿宋" w:hint="eastAsia"/>
              </w:rPr>
              <w:t>元以下的罚款。</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第三十四条</w:t>
            </w:r>
            <w:r>
              <w:rPr>
                <w:rFonts w:ascii="仿宋" w:hAnsi="仿宋" w:cs="仿宋" w:hint="eastAsia"/>
              </w:rPr>
              <w:t xml:space="preserve">　在技术交易活动中，当事人有违反工商行政管理、财政、税收、技术监督等法律、法规行为的，分别由工商行政管理、财政、税务、技术监督等部门依法处罚。</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第三十五条</w:t>
            </w:r>
            <w:r>
              <w:rPr>
                <w:rFonts w:ascii="仿宋" w:hAnsi="仿宋" w:cs="仿宋" w:hint="eastAsia"/>
              </w:rPr>
              <w:t xml:space="preserve">　在技术交易活动中，给他人造成损失的，依法承担赔偿责任。</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第三十六条</w:t>
            </w:r>
            <w:r>
              <w:rPr>
                <w:rFonts w:ascii="仿宋" w:hAnsi="仿宋" w:cs="仿宋" w:hint="eastAsia"/>
              </w:rPr>
              <w:t xml:space="preserve">　管理技术市场的工作人员玩忽职守、徇私舞弊、收受贿赂的，由其所在单位、上级机关或者有关主管部门给予行政处分。</w:t>
            </w:r>
          </w:p>
        </w:tc>
      </w:tr>
      <w:tr w:rsidR="007F06E2">
        <w:trPr>
          <w:trHeight w:val="375"/>
          <w:tblCellSpacing w:w="15" w:type="dxa"/>
        </w:trPr>
        <w:tc>
          <w:tcPr>
            <w:tcW w:w="8892" w:type="dxa"/>
            <w:vAlign w:val="center"/>
          </w:tcPr>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第三十七条</w:t>
            </w:r>
            <w:r>
              <w:rPr>
                <w:rFonts w:ascii="仿宋" w:hAnsi="仿宋" w:cs="仿宋" w:hint="eastAsia"/>
              </w:rPr>
              <w:t xml:space="preserve">　对于违反本条例规定，构成犯罪的，由司法机关依法追究刑事责任。</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center"/>
              <w:rPr>
                <w:rFonts w:ascii="黑体" w:eastAsia="黑体" w:hAnsi="黑体" w:cs="黑体"/>
              </w:rPr>
            </w:pPr>
            <w:r>
              <w:rPr>
                <w:rFonts w:ascii="黑体" w:eastAsia="黑体" w:hAnsi="黑体" w:cs="黑体" w:hint="eastAsia"/>
              </w:rPr>
              <w:t>第九章　附则</w:t>
            </w:r>
          </w:p>
        </w:tc>
      </w:tr>
      <w:tr w:rsidR="007F06E2">
        <w:trPr>
          <w:trHeight w:val="375"/>
          <w:tblCellSpacing w:w="15" w:type="dxa"/>
        </w:trPr>
        <w:tc>
          <w:tcPr>
            <w:tcW w:w="8892" w:type="dxa"/>
            <w:vAlign w:val="center"/>
          </w:tcPr>
          <w:p w:rsidR="007F06E2" w:rsidRDefault="007F06E2" w:rsidP="005B6549">
            <w:pPr>
              <w:snapToGrid/>
              <w:spacing w:after="0" w:line="300" w:lineRule="auto"/>
              <w:ind w:firstLineChars="200" w:firstLine="632"/>
              <w:jc w:val="both"/>
              <w:rPr>
                <w:rFonts w:ascii="黑体" w:eastAsia="黑体" w:hAnsi="黑体" w:cs="黑体"/>
              </w:rPr>
            </w:pPr>
          </w:p>
          <w:p w:rsidR="007F06E2" w:rsidRDefault="00E15CFF" w:rsidP="005B6549">
            <w:pPr>
              <w:snapToGrid/>
              <w:spacing w:after="0" w:line="300" w:lineRule="auto"/>
              <w:ind w:firstLineChars="200" w:firstLine="632"/>
              <w:jc w:val="both"/>
              <w:rPr>
                <w:rFonts w:ascii="仿宋" w:hAnsi="仿宋" w:cs="仿宋"/>
              </w:rPr>
            </w:pPr>
            <w:r>
              <w:rPr>
                <w:rFonts w:ascii="黑体" w:eastAsia="黑体" w:hAnsi="黑体" w:cs="黑体" w:hint="eastAsia"/>
              </w:rPr>
              <w:t>第三十八条</w:t>
            </w:r>
            <w:r>
              <w:rPr>
                <w:rFonts w:ascii="仿宋" w:hAnsi="仿宋" w:cs="仿宋" w:hint="eastAsia"/>
              </w:rPr>
              <w:t xml:space="preserve">　本条例自发布之日起施行。过去省内其它有关规定，与本条例相抵触的，按本条例执行。</w:t>
            </w:r>
          </w:p>
        </w:tc>
      </w:tr>
    </w:tbl>
    <w:p w:rsidR="007F06E2" w:rsidRDefault="007F06E2" w:rsidP="005B6549">
      <w:pPr>
        <w:snapToGrid/>
        <w:spacing w:after="0" w:line="300" w:lineRule="auto"/>
        <w:ind w:firstLineChars="200" w:firstLine="632"/>
        <w:jc w:val="both"/>
        <w:rPr>
          <w:rFonts w:asciiTheme="majorEastAsia" w:eastAsiaTheme="majorEastAsia" w:hAnsiTheme="majorEastAsia" w:cstheme="majorEastAsia"/>
        </w:rPr>
      </w:pPr>
    </w:p>
    <w:p w:rsidR="007F06E2" w:rsidRDefault="007F06E2">
      <w:pPr>
        <w:spacing w:line="220" w:lineRule="atLeast"/>
      </w:pPr>
    </w:p>
    <w:sectPr w:rsidR="007F06E2" w:rsidSect="007F06E2">
      <w:footerReference w:type="even" r:id="rId8"/>
      <w:footerReference w:type="default" r:id="rId9"/>
      <w:pgSz w:w="11906" w:h="16838"/>
      <w:pgMar w:top="2041" w:right="1531" w:bottom="2041" w:left="1531" w:header="708" w:footer="709" w:gutter="0"/>
      <w:cols w:space="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CFF" w:rsidRDefault="00E15CFF" w:rsidP="007F06E2">
      <w:pPr>
        <w:spacing w:after="0"/>
      </w:pPr>
      <w:r>
        <w:separator/>
      </w:r>
    </w:p>
  </w:endnote>
  <w:endnote w:type="continuationSeparator" w:id="1">
    <w:p w:rsidR="00E15CFF" w:rsidRDefault="00E15CFF" w:rsidP="007F06E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6E2" w:rsidRDefault="007F06E2">
    <w:pPr>
      <w:pStyle w:val="a3"/>
    </w:pPr>
    <w:r>
      <w:pict>
        <v:shapetype id="_x0000_t202" coordsize="21600,21600" o:spt="202" path="m,l,21600r21600,l21600,xe">
          <v:stroke joinstyle="miter"/>
          <v:path gradientshapeok="t" o:connecttype="rect"/>
        </v:shapetype>
        <v:shape id="_x0000_s2050" type="#_x0000_t202" style="position:absolute;margin-left:18pt;margin-top:-44.25pt;width:2in;height:2in;z-index:251659264;mso-wrap-style:none;mso-position-horizontal-relative:margin" filled="f" stroked="f">
          <v:textbox style="mso-fit-shape-to-text:t" inset="0,0,0,0">
            <w:txbxContent>
              <w:p w:rsidR="007F06E2" w:rsidRDefault="00E15CFF">
                <w:pPr>
                  <w:rPr>
                    <w:rFonts w:ascii="宋体" w:eastAsia="宋体" w:hAnsi="宋体" w:cs="宋体"/>
                    <w:sz w:val="28"/>
                    <w:szCs w:val="28"/>
                  </w:rPr>
                </w:pPr>
                <w:r>
                  <w:rPr>
                    <w:rFonts w:ascii="宋体" w:eastAsia="宋体" w:hAnsi="宋体" w:cs="宋体" w:hint="eastAsia"/>
                    <w:sz w:val="28"/>
                    <w:szCs w:val="28"/>
                  </w:rPr>
                  <w:t>－</w:t>
                </w:r>
                <w:r w:rsidR="007F06E2">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7F06E2">
                  <w:rPr>
                    <w:rFonts w:ascii="宋体" w:eastAsia="宋体" w:hAnsi="宋体" w:cs="宋体" w:hint="eastAsia"/>
                    <w:sz w:val="28"/>
                    <w:szCs w:val="28"/>
                  </w:rPr>
                  <w:fldChar w:fldCharType="separate"/>
                </w:r>
                <w:r w:rsidR="005B6549">
                  <w:rPr>
                    <w:rFonts w:ascii="宋体" w:eastAsia="宋体" w:hAnsi="宋体" w:cs="宋体"/>
                    <w:noProof/>
                    <w:sz w:val="28"/>
                    <w:szCs w:val="28"/>
                  </w:rPr>
                  <w:t>8</w:t>
                </w:r>
                <w:r w:rsidR="007F06E2">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6E2" w:rsidRDefault="007F06E2">
    <w:pPr>
      <w:pStyle w:val="a3"/>
    </w:pPr>
    <w:r>
      <w:pict>
        <v:shapetype id="_x0000_t202" coordsize="21600,21600" o:spt="202" path="m,l,21600r21600,l21600,xe">
          <v:stroke joinstyle="miter"/>
          <v:path gradientshapeok="t" o:connecttype="rect"/>
        </v:shapetype>
        <v:shape id="_x0000_s2049" type="#_x0000_t202" style="position:absolute;margin-left:375.95pt;margin-top:-42pt;width:2in;height:2in;z-index:251658240;mso-wrap-style:none;mso-position-horizontal-relative:margin" filled="f" stroked="f">
          <v:textbox style="mso-fit-shape-to-text:t" inset="0,0,0,0">
            <w:txbxContent>
              <w:p w:rsidR="007F06E2" w:rsidRDefault="00E15CFF">
                <w:pPr>
                  <w:rPr>
                    <w:rFonts w:ascii="宋体" w:eastAsia="宋体" w:hAnsi="宋体" w:cs="宋体"/>
                    <w:sz w:val="28"/>
                    <w:szCs w:val="28"/>
                  </w:rPr>
                </w:pPr>
                <w:r>
                  <w:rPr>
                    <w:rFonts w:ascii="宋体" w:eastAsia="宋体" w:hAnsi="宋体" w:cs="宋体" w:hint="eastAsia"/>
                    <w:sz w:val="28"/>
                    <w:szCs w:val="28"/>
                  </w:rPr>
                  <w:t>－</w:t>
                </w:r>
                <w:r w:rsidR="007F06E2">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7F06E2">
                  <w:rPr>
                    <w:rFonts w:ascii="宋体" w:eastAsia="宋体" w:hAnsi="宋体" w:cs="宋体" w:hint="eastAsia"/>
                    <w:sz w:val="28"/>
                    <w:szCs w:val="28"/>
                  </w:rPr>
                  <w:fldChar w:fldCharType="separate"/>
                </w:r>
                <w:r w:rsidR="005B6549">
                  <w:rPr>
                    <w:rFonts w:ascii="宋体" w:eastAsia="宋体" w:hAnsi="宋体" w:cs="宋体"/>
                    <w:noProof/>
                    <w:sz w:val="28"/>
                    <w:szCs w:val="28"/>
                  </w:rPr>
                  <w:t>9</w:t>
                </w:r>
                <w:r w:rsidR="007F06E2">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CFF" w:rsidRDefault="00E15CFF" w:rsidP="007F06E2">
      <w:pPr>
        <w:spacing w:after="0"/>
      </w:pPr>
      <w:r>
        <w:separator/>
      </w:r>
    </w:p>
  </w:footnote>
  <w:footnote w:type="continuationSeparator" w:id="1">
    <w:p w:rsidR="00E15CFF" w:rsidRDefault="00E15CFF" w:rsidP="007F06E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evenAndOddHeaders/>
  <w:drawingGridHorizontalSpacing w:val="158"/>
  <w:drawingGridVerticalSpacing w:val="29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D31D50"/>
    <w:rsid w:val="00323B43"/>
    <w:rsid w:val="003D37D8"/>
    <w:rsid w:val="00426133"/>
    <w:rsid w:val="004358AB"/>
    <w:rsid w:val="005B6549"/>
    <w:rsid w:val="007F06E2"/>
    <w:rsid w:val="008B7726"/>
    <w:rsid w:val="00A01CA6"/>
    <w:rsid w:val="00D31D50"/>
    <w:rsid w:val="00D33D97"/>
    <w:rsid w:val="00E15CFF"/>
    <w:rsid w:val="014F359A"/>
    <w:rsid w:val="12EC3FFA"/>
    <w:rsid w:val="22FC0750"/>
    <w:rsid w:val="23ED0043"/>
    <w:rsid w:val="45413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6E2"/>
    <w:pPr>
      <w:adjustRightInd w:val="0"/>
      <w:snapToGrid w:val="0"/>
      <w:spacing w:after="200"/>
    </w:pPr>
    <w:rPr>
      <w:rFonts w:ascii="Tahoma" w:eastAsia="仿宋" w:hAnsi="Tahoma"/>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rsid w:val="007F06E2"/>
    <w:pPr>
      <w:tabs>
        <w:tab w:val="center" w:pos="4153"/>
        <w:tab w:val="right" w:pos="8306"/>
      </w:tabs>
    </w:pPr>
    <w:rPr>
      <w:sz w:val="18"/>
    </w:rPr>
  </w:style>
  <w:style w:type="paragraph" w:styleId="a4">
    <w:name w:val="header"/>
    <w:basedOn w:val="a"/>
    <w:uiPriority w:val="99"/>
    <w:unhideWhenUsed/>
    <w:rsid w:val="007F06E2"/>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styleId="a5">
    <w:name w:val="Hyperlink"/>
    <w:basedOn w:val="a0"/>
    <w:uiPriority w:val="99"/>
    <w:unhideWhenUsed/>
    <w:rsid w:val="007F06E2"/>
    <w:rPr>
      <w:color w:val="0000FF"/>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aw.npc.gov.cn:80/FLFG/flfgByID.action?txtid=1&amp;flfgID=288&amp;showDetailType=Q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hehe</dc:creator>
  <cp:lastModifiedBy>Windows 用户</cp:lastModifiedBy>
  <cp:revision>3</cp:revision>
  <dcterms:created xsi:type="dcterms:W3CDTF">2008-09-11T17:20:00Z</dcterms:created>
  <dcterms:modified xsi:type="dcterms:W3CDTF">2017-01-10T01:59:00Z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