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8952" w:type="dxa"/>
        <w:tblCellSpacing w:w="15" w:type="dxa"/>
        <w:tblInd w:w="0" w:type="dxa"/>
        <w:tblLayout w:type="fixed"/>
        <w:tblCellMar>
          <w:top w:w="0" w:type="dxa"/>
          <w:left w:w="0" w:type="dxa"/>
          <w:bottom w:w="0" w:type="dxa"/>
          <w:right w:w="0" w:type="dxa"/>
        </w:tblCellMar>
      </w:tblPr>
      <w:tblGrid>
        <w:gridCol w:w="8952"/>
      </w:tblGrid>
      <w:tr>
        <w:tblPrEx>
          <w:tblLayout w:type="fixed"/>
          <w:tblCellMar>
            <w:top w:w="0" w:type="dxa"/>
            <w:left w:w="0" w:type="dxa"/>
            <w:bottom w:w="0" w:type="dxa"/>
            <w:right w:w="0" w:type="dxa"/>
          </w:tblCellMar>
        </w:tblPrEx>
        <w:trPr>
          <w:trHeight w:val="375" w:hRule="atLeast"/>
          <w:tblCellSpacing w:w="15" w:type="dxa"/>
        </w:trPr>
        <w:tc>
          <w:tcPr>
            <w:tcW w:w="8892" w:type="dxa"/>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Theme="majorEastAsia" w:hAnsiTheme="majorEastAsia" w:eastAsiaTheme="majorEastAsia" w:cstheme="majorEastAsia"/>
                <w:color w:val="auto"/>
                <w:sz w:val="32"/>
                <w:szCs w:val="32"/>
              </w:rPr>
            </w:pPr>
          </w:p>
          <w:tbl>
            <w:tblPr>
              <w:tblStyle w:val="6"/>
              <w:tblW w:w="8817" w:type="dxa"/>
              <w:tblCellSpacing w:w="15" w:type="dxa"/>
              <w:tblInd w:w="0" w:type="dxa"/>
              <w:tblLayout w:type="fixed"/>
              <w:tblCellMar>
                <w:top w:w="15" w:type="dxa"/>
                <w:left w:w="15" w:type="dxa"/>
                <w:bottom w:w="15" w:type="dxa"/>
                <w:right w:w="15" w:type="dxa"/>
              </w:tblCellMar>
            </w:tblPr>
            <w:tblGrid>
              <w:gridCol w:w="8817"/>
            </w:tblGrid>
            <w:tr>
              <w:tblPrEx>
                <w:tblLayout w:type="fixed"/>
                <w:tblCellMar>
                  <w:top w:w="15" w:type="dxa"/>
                  <w:left w:w="15" w:type="dxa"/>
                  <w:bottom w:w="15" w:type="dxa"/>
                  <w:right w:w="15" w:type="dxa"/>
                </w:tblCellMar>
              </w:tblPrEx>
              <w:trPr>
                <w:trHeight w:val="375" w:hRule="atLeast"/>
                <w:tblCellSpacing w:w="15" w:type="dxa"/>
              </w:trPr>
              <w:tc>
                <w:tcPr>
                  <w:tcW w:w="875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Theme="majorEastAsia" w:hAnsiTheme="majorEastAsia" w:eastAsiaTheme="majorEastAsia" w:cstheme="majorEastAsia"/>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right="0" w:rightChars="0"/>
                    <w:jc w:val="center"/>
                    <w:textAlignment w:val="auto"/>
                    <w:outlineLvl w:val="9"/>
                    <w:rPr>
                      <w:rFonts w:hint="eastAsia" w:ascii="仿宋" w:hAnsi="仿宋" w:eastAsia="仿宋" w:cs="仿宋"/>
                      <w:color w:val="auto"/>
                      <w:sz w:val="32"/>
                      <w:szCs w:val="32"/>
                    </w:rPr>
                  </w:pPr>
                  <w:r>
                    <w:rPr>
                      <w:rFonts w:hint="eastAsia" w:asciiTheme="majorEastAsia" w:hAnsiTheme="majorEastAsia" w:eastAsiaTheme="majorEastAsia" w:cstheme="majorEastAsia"/>
                      <w:color w:val="auto"/>
                      <w:sz w:val="44"/>
                      <w:szCs w:val="44"/>
                    </w:rPr>
                    <w:t>吉林省社会治安综合治理条例</w:t>
                  </w:r>
                </w:p>
              </w:tc>
            </w:tr>
            <w:tr>
              <w:tblPrEx>
                <w:tblLayout w:type="fixed"/>
                <w:tblCellMar>
                  <w:top w:w="15" w:type="dxa"/>
                  <w:left w:w="15" w:type="dxa"/>
                  <w:bottom w:w="15" w:type="dxa"/>
                  <w:right w:w="15" w:type="dxa"/>
                </w:tblCellMar>
              </w:tblPrEx>
              <w:trPr>
                <w:trHeight w:val="375" w:hRule="atLeast"/>
                <w:tblCellSpacing w:w="15" w:type="dxa"/>
              </w:trPr>
              <w:tc>
                <w:tcPr>
                  <w:tcW w:w="875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640" w:leftChars="200" w:right="524" w:rightChars="166" w:hanging="8" w:firstLineChars="0"/>
                    <w:jc w:val="both"/>
                    <w:textAlignment w:val="auto"/>
                    <w:outlineLvl w:val="9"/>
                    <w:rPr>
                      <w:rFonts w:hint="eastAsia" w:ascii="仿宋" w:hAnsi="仿宋" w:eastAsia="仿宋" w:cs="仿宋"/>
                      <w:color w:val="auto"/>
                      <w:sz w:val="32"/>
                      <w:szCs w:val="32"/>
                    </w:rPr>
                  </w:pPr>
                  <w:r>
                    <w:rPr>
                      <w:rFonts w:hint="eastAsia" w:ascii="楷体" w:hAnsi="楷体" w:eastAsia="楷体" w:cs="楷体"/>
                      <w:color w:val="auto"/>
                      <w:sz w:val="32"/>
                      <w:szCs w:val="32"/>
                    </w:rPr>
                    <w:t>（2008年11月28日吉林省第十一届人民代表大会常务委员会第七次会议通过）</w:t>
                  </w:r>
                </w:p>
              </w:tc>
            </w:tr>
            <w:tr>
              <w:tblPrEx>
                <w:tblLayout w:type="fixed"/>
                <w:tblCellMar>
                  <w:top w:w="15" w:type="dxa"/>
                  <w:left w:w="15" w:type="dxa"/>
                  <w:bottom w:w="15" w:type="dxa"/>
                  <w:right w:w="15" w:type="dxa"/>
                </w:tblCellMar>
              </w:tblPrEx>
              <w:trPr>
                <w:trHeight w:val="375" w:hRule="atLeast"/>
                <w:tblCellSpacing w:w="15" w:type="dxa"/>
              </w:trPr>
              <w:tc>
                <w:tcPr>
                  <w:tcW w:w="875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lang w:eastAsia="zh-CN"/>
                    </w:rPr>
                  </w:pPr>
                  <w:r>
                    <w:rPr>
                      <w:rFonts w:hint="eastAsia" w:ascii="仿宋" w:hAnsi="仿宋" w:eastAsia="仿宋" w:cs="仿宋"/>
                      <w:color w:val="auto"/>
                      <w:sz w:val="32"/>
                      <w:szCs w:val="32"/>
                      <w:lang w:eastAsia="zh-CN"/>
                    </w:rPr>
                    <w:t xml:space="preserve"> </w:t>
                  </w:r>
                </w:p>
              </w:tc>
            </w:tr>
            <w:tr>
              <w:tblPrEx>
                <w:tblLayout w:type="fixed"/>
                <w:tblCellMar>
                  <w:top w:w="15" w:type="dxa"/>
                  <w:left w:w="15" w:type="dxa"/>
                  <w:bottom w:w="15" w:type="dxa"/>
                  <w:right w:w="15" w:type="dxa"/>
                </w:tblCellMar>
              </w:tblPrEx>
              <w:trPr>
                <w:trHeight w:val="375" w:hRule="atLeast"/>
                <w:tblCellSpacing w:w="15" w:type="dxa"/>
              </w:trPr>
              <w:tc>
                <w:tcPr>
                  <w:tcW w:w="875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第一条</w:t>
                  </w:r>
                  <w:r>
                    <w:rPr>
                      <w:rFonts w:hint="eastAsia" w:ascii="仿宋" w:hAnsi="仿宋" w:eastAsia="仿宋" w:cs="仿宋"/>
                      <w:color w:val="auto"/>
                      <w:sz w:val="32"/>
                      <w:szCs w:val="32"/>
                    </w:rPr>
                    <w:t>　为加强社会治安综合治理，维护社会治安秩序和社会稳定，促进和谐社会建设，保障改革和发展的顺利进行，根据《</w:t>
                  </w:r>
                  <w:r>
                    <w:rPr>
                      <w:rFonts w:hint="eastAsia" w:ascii="仿宋" w:hAnsi="仿宋" w:eastAsia="仿宋" w:cs="仿宋"/>
                      <w:color w:val="auto"/>
                      <w:sz w:val="32"/>
                      <w:szCs w:val="32"/>
                    </w:rPr>
                    <w:fldChar w:fldCharType="begin"/>
                  </w:r>
                  <w:r>
                    <w:rPr>
                      <w:rFonts w:hint="eastAsia" w:ascii="仿宋" w:hAnsi="仿宋" w:eastAsia="仿宋" w:cs="仿宋"/>
                      <w:color w:val="auto"/>
                      <w:sz w:val="32"/>
                      <w:szCs w:val="32"/>
                    </w:rPr>
                    <w:instrText xml:space="preserve"> HYPERLINK "http://law.npc.gov.cn:80/FLFG/flfgByID.action?txtid=1&amp;flfgID=128&amp;showDetailType=QW" </w:instrText>
                  </w:r>
                  <w:r>
                    <w:rPr>
                      <w:rFonts w:hint="eastAsia" w:ascii="仿宋" w:hAnsi="仿宋" w:eastAsia="仿宋" w:cs="仿宋"/>
                      <w:color w:val="auto"/>
                      <w:sz w:val="32"/>
                      <w:szCs w:val="32"/>
                    </w:rPr>
                    <w:fldChar w:fldCharType="separate"/>
                  </w:r>
                  <w:r>
                    <w:rPr>
                      <w:rFonts w:hint="eastAsia" w:ascii="仿宋" w:hAnsi="仿宋" w:eastAsia="仿宋" w:cs="仿宋"/>
                      <w:color w:val="auto"/>
                      <w:sz w:val="32"/>
                      <w:szCs w:val="32"/>
                    </w:rPr>
                    <w:t>全国人民代表大会常务委员会关于加强社会治安综合治理的决定</w:t>
                  </w:r>
                  <w:r>
                    <w:rPr>
                      <w:rFonts w:hint="eastAsia" w:ascii="仿宋" w:hAnsi="仿宋" w:eastAsia="仿宋" w:cs="仿宋"/>
                      <w:color w:val="auto"/>
                      <w:sz w:val="32"/>
                      <w:szCs w:val="32"/>
                    </w:rPr>
                    <w:fldChar w:fldCharType="end"/>
                  </w:r>
                  <w:r>
                    <w:rPr>
                      <w:rFonts w:hint="eastAsia" w:ascii="仿宋" w:hAnsi="仿宋" w:eastAsia="仿宋" w:cs="仿宋"/>
                      <w:color w:val="auto"/>
                      <w:sz w:val="32"/>
                      <w:szCs w:val="32"/>
                    </w:rPr>
                    <w:t>》和有关法律、法规，结合本省实际，制定本条例。</w:t>
                  </w:r>
                </w:p>
              </w:tc>
            </w:tr>
            <w:tr>
              <w:tblPrEx>
                <w:tblLayout w:type="fixed"/>
                <w:tblCellMar>
                  <w:top w:w="15" w:type="dxa"/>
                  <w:left w:w="15" w:type="dxa"/>
                  <w:bottom w:w="15" w:type="dxa"/>
                  <w:right w:w="15" w:type="dxa"/>
                </w:tblCellMar>
              </w:tblPrEx>
              <w:trPr>
                <w:trHeight w:val="375" w:hRule="atLeast"/>
                <w:tblCellSpacing w:w="15" w:type="dxa"/>
              </w:trPr>
              <w:tc>
                <w:tcPr>
                  <w:tcW w:w="875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第二条</w:t>
                  </w:r>
                  <w:r>
                    <w:rPr>
                      <w:rFonts w:hint="eastAsia" w:ascii="仿宋" w:hAnsi="仿宋" w:eastAsia="仿宋" w:cs="仿宋"/>
                      <w:color w:val="auto"/>
                      <w:sz w:val="32"/>
                      <w:szCs w:val="32"/>
                    </w:rPr>
                    <w:t>　本条例适用于本省行政区域内的机关、团体、企业、事业单位以及其他组织和公民。</w:t>
                  </w:r>
                </w:p>
              </w:tc>
            </w:tr>
            <w:tr>
              <w:tblPrEx>
                <w:tblLayout w:type="fixed"/>
                <w:tblCellMar>
                  <w:top w:w="15" w:type="dxa"/>
                  <w:left w:w="15" w:type="dxa"/>
                  <w:bottom w:w="15" w:type="dxa"/>
                  <w:right w:w="15" w:type="dxa"/>
                </w:tblCellMar>
              </w:tblPrEx>
              <w:trPr>
                <w:trHeight w:val="375" w:hRule="atLeast"/>
                <w:tblCellSpacing w:w="15" w:type="dxa"/>
              </w:trPr>
              <w:tc>
                <w:tcPr>
                  <w:tcW w:w="875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第三条　</w:t>
                  </w:r>
                  <w:r>
                    <w:rPr>
                      <w:rFonts w:hint="eastAsia" w:ascii="仿宋" w:hAnsi="仿宋" w:eastAsia="仿宋" w:cs="仿宋"/>
                      <w:color w:val="auto"/>
                      <w:sz w:val="32"/>
                      <w:szCs w:val="32"/>
                    </w:rPr>
                    <w:t>社会治安综合治理是全社会的共同任务，应当动员和组织全社会各方面力量，齐抓共管，运用政治、法律、行政、经济、文化、教育等多种手段，做好打击、防范、教育、管理、建设、改造等方面的工作，维护社会治安秩序，保障社会和谐稳定。</w:t>
                  </w:r>
                </w:p>
              </w:tc>
            </w:tr>
            <w:tr>
              <w:tblPrEx>
                <w:tblLayout w:type="fixed"/>
                <w:tblCellMar>
                  <w:top w:w="15" w:type="dxa"/>
                  <w:left w:w="15" w:type="dxa"/>
                  <w:bottom w:w="15" w:type="dxa"/>
                  <w:right w:w="15" w:type="dxa"/>
                </w:tblCellMar>
              </w:tblPrEx>
              <w:trPr>
                <w:trHeight w:val="375" w:hRule="atLeast"/>
                <w:tblCellSpacing w:w="15" w:type="dxa"/>
              </w:trPr>
              <w:tc>
                <w:tcPr>
                  <w:tcW w:w="875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第四条</w:t>
                  </w:r>
                  <w:r>
                    <w:rPr>
                      <w:rFonts w:hint="eastAsia" w:ascii="仿宋" w:hAnsi="仿宋" w:eastAsia="仿宋" w:cs="仿宋"/>
                      <w:color w:val="auto"/>
                      <w:sz w:val="32"/>
                      <w:szCs w:val="32"/>
                    </w:rPr>
                    <w:t>　社会治安综合治理的方针和原则是，坚持打击与预防并举、以预防为主，治标和治本兼顾、重在治本，专门机关工作与群众路线相结合、依靠群众，实行谁主管谁负责和属地管理。</w:t>
                  </w:r>
                </w:p>
              </w:tc>
            </w:tr>
            <w:tr>
              <w:tblPrEx>
                <w:tblLayout w:type="fixed"/>
                <w:tblCellMar>
                  <w:top w:w="15" w:type="dxa"/>
                  <w:left w:w="15" w:type="dxa"/>
                  <w:bottom w:w="15" w:type="dxa"/>
                  <w:right w:w="15" w:type="dxa"/>
                </w:tblCellMar>
              </w:tblPrEx>
              <w:trPr>
                <w:trHeight w:val="375" w:hRule="atLeast"/>
                <w:tblCellSpacing w:w="15" w:type="dxa"/>
              </w:trPr>
              <w:tc>
                <w:tcPr>
                  <w:tcW w:w="875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第五条</w:t>
                  </w:r>
                  <w:r>
                    <w:rPr>
                      <w:rFonts w:hint="eastAsia" w:ascii="仿宋" w:hAnsi="仿宋" w:eastAsia="仿宋" w:cs="仿宋"/>
                      <w:color w:val="auto"/>
                      <w:sz w:val="32"/>
                      <w:szCs w:val="32"/>
                    </w:rPr>
                    <w:t>　社会治安综合治理的主要任务是：</w:t>
                  </w:r>
                </w:p>
              </w:tc>
            </w:tr>
            <w:tr>
              <w:tblPrEx>
                <w:tblLayout w:type="fixed"/>
                <w:tblCellMar>
                  <w:top w:w="15" w:type="dxa"/>
                  <w:left w:w="15" w:type="dxa"/>
                  <w:bottom w:w="15" w:type="dxa"/>
                  <w:right w:w="15" w:type="dxa"/>
                </w:tblCellMar>
              </w:tblPrEx>
              <w:trPr>
                <w:trHeight w:val="375" w:hRule="atLeast"/>
                <w:tblCellSpacing w:w="15" w:type="dxa"/>
              </w:trPr>
              <w:tc>
                <w:tcPr>
                  <w:tcW w:w="875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（一）依法打击各种违法犯罪活动，严惩严重危害社会治安的刑事犯罪人员；</w:t>
                  </w:r>
                </w:p>
              </w:tc>
            </w:tr>
            <w:tr>
              <w:tblPrEx>
                <w:tblLayout w:type="fixed"/>
                <w:tblCellMar>
                  <w:top w:w="15" w:type="dxa"/>
                  <w:left w:w="15" w:type="dxa"/>
                  <w:bottom w:w="15" w:type="dxa"/>
                  <w:right w:w="15" w:type="dxa"/>
                </w:tblCellMar>
              </w:tblPrEx>
              <w:trPr>
                <w:trHeight w:val="375" w:hRule="atLeast"/>
                <w:tblCellSpacing w:w="15" w:type="dxa"/>
              </w:trPr>
              <w:tc>
                <w:tcPr>
                  <w:tcW w:w="875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（二）排查、调解矛盾纠纷，消除不安定因素；</w:t>
                  </w:r>
                </w:p>
              </w:tc>
            </w:tr>
            <w:tr>
              <w:tblPrEx>
                <w:tblLayout w:type="fixed"/>
                <w:tblCellMar>
                  <w:top w:w="15" w:type="dxa"/>
                  <w:left w:w="15" w:type="dxa"/>
                  <w:bottom w:w="15" w:type="dxa"/>
                  <w:right w:w="15" w:type="dxa"/>
                </w:tblCellMar>
              </w:tblPrEx>
              <w:trPr>
                <w:trHeight w:val="375" w:hRule="atLeast"/>
                <w:tblCellSpacing w:w="15" w:type="dxa"/>
              </w:trPr>
              <w:tc>
                <w:tcPr>
                  <w:tcW w:w="875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（三）加强对流动人口的服务和管理，引导人口有序流动，保护流动人口合法权益；</w:t>
                  </w:r>
                </w:p>
              </w:tc>
            </w:tr>
            <w:tr>
              <w:tblPrEx>
                <w:tblLayout w:type="fixed"/>
                <w:tblCellMar>
                  <w:top w:w="15" w:type="dxa"/>
                  <w:left w:w="15" w:type="dxa"/>
                  <w:bottom w:w="15" w:type="dxa"/>
                  <w:right w:w="15" w:type="dxa"/>
                </w:tblCellMar>
              </w:tblPrEx>
              <w:trPr>
                <w:trHeight w:val="375" w:hRule="atLeast"/>
                <w:tblCellSpacing w:w="15" w:type="dxa"/>
              </w:trPr>
              <w:tc>
                <w:tcPr>
                  <w:tcW w:w="875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（四）加强基层基础建设，健全和完善社会治安防控体系；</w:t>
                  </w:r>
                </w:p>
              </w:tc>
            </w:tr>
            <w:tr>
              <w:tblPrEx>
                <w:tblLayout w:type="fixed"/>
                <w:tblCellMar>
                  <w:top w:w="15" w:type="dxa"/>
                  <w:left w:w="15" w:type="dxa"/>
                  <w:bottom w:w="15" w:type="dxa"/>
                  <w:right w:w="15" w:type="dxa"/>
                </w:tblCellMar>
              </w:tblPrEx>
              <w:trPr>
                <w:trHeight w:val="375" w:hRule="atLeast"/>
                <w:tblCellSpacing w:w="15" w:type="dxa"/>
              </w:trPr>
              <w:tc>
                <w:tcPr>
                  <w:tcW w:w="875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（五）加强对公民特别是青少年的法制、道德和行为规范教育；</w:t>
                  </w:r>
                </w:p>
              </w:tc>
            </w:tr>
            <w:tr>
              <w:tblPrEx>
                <w:tblLayout w:type="fixed"/>
                <w:tblCellMar>
                  <w:top w:w="15" w:type="dxa"/>
                  <w:left w:w="15" w:type="dxa"/>
                  <w:bottom w:w="15" w:type="dxa"/>
                  <w:right w:w="15" w:type="dxa"/>
                </w:tblCellMar>
              </w:tblPrEx>
              <w:trPr>
                <w:trHeight w:val="375" w:hRule="atLeast"/>
                <w:tblCellSpacing w:w="15" w:type="dxa"/>
              </w:trPr>
              <w:tc>
                <w:tcPr>
                  <w:tcW w:w="875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（六）教育、改造和挽救违法犯罪人员，做好刑满释放、解除劳动教养人员的帮教和就业工作，预防和减少重新违法犯罪；</w:t>
                  </w:r>
                </w:p>
              </w:tc>
            </w:tr>
            <w:tr>
              <w:tblPrEx>
                <w:tblLayout w:type="fixed"/>
                <w:tblCellMar>
                  <w:top w:w="15" w:type="dxa"/>
                  <w:left w:w="15" w:type="dxa"/>
                  <w:bottom w:w="15" w:type="dxa"/>
                  <w:right w:w="15" w:type="dxa"/>
                </w:tblCellMar>
              </w:tblPrEx>
              <w:trPr>
                <w:trHeight w:val="375" w:hRule="atLeast"/>
                <w:tblCellSpacing w:w="15" w:type="dxa"/>
              </w:trPr>
              <w:tc>
                <w:tcPr>
                  <w:tcW w:w="875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（七）动员和组织机关、团体、企业、事业单位及其他组织和公民参与社会治安综合治理，开展群防群治活动；</w:t>
                  </w:r>
                </w:p>
              </w:tc>
            </w:tr>
            <w:tr>
              <w:tblPrEx>
                <w:tblLayout w:type="fixed"/>
                <w:tblCellMar>
                  <w:top w:w="15" w:type="dxa"/>
                  <w:left w:w="15" w:type="dxa"/>
                  <w:bottom w:w="15" w:type="dxa"/>
                  <w:right w:w="15" w:type="dxa"/>
                </w:tblCellMar>
              </w:tblPrEx>
              <w:trPr>
                <w:trHeight w:val="375" w:hRule="atLeast"/>
                <w:tblCellSpacing w:w="15" w:type="dxa"/>
              </w:trPr>
              <w:tc>
                <w:tcPr>
                  <w:tcW w:w="875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（八）深入开展平安创建活动，落实维护社会稳定的各项措施；</w:t>
                  </w:r>
                </w:p>
              </w:tc>
            </w:tr>
            <w:tr>
              <w:tblPrEx>
                <w:tblLayout w:type="fixed"/>
                <w:tblCellMar>
                  <w:top w:w="15" w:type="dxa"/>
                  <w:left w:w="15" w:type="dxa"/>
                  <w:bottom w:w="15" w:type="dxa"/>
                  <w:right w:w="15" w:type="dxa"/>
                </w:tblCellMar>
              </w:tblPrEx>
              <w:trPr>
                <w:trHeight w:val="375" w:hRule="atLeast"/>
                <w:tblCellSpacing w:w="15" w:type="dxa"/>
              </w:trPr>
              <w:tc>
                <w:tcPr>
                  <w:tcW w:w="875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（九）其他社会治安综合治理任务。</w:t>
                  </w:r>
                </w:p>
              </w:tc>
            </w:tr>
            <w:tr>
              <w:tblPrEx>
                <w:tblLayout w:type="fixed"/>
                <w:tblCellMar>
                  <w:top w:w="15" w:type="dxa"/>
                  <w:left w:w="15" w:type="dxa"/>
                  <w:bottom w:w="15" w:type="dxa"/>
                  <w:right w:w="15" w:type="dxa"/>
                </w:tblCellMar>
              </w:tblPrEx>
              <w:trPr>
                <w:trHeight w:val="375" w:hRule="atLeast"/>
                <w:tblCellSpacing w:w="15" w:type="dxa"/>
              </w:trPr>
              <w:tc>
                <w:tcPr>
                  <w:tcW w:w="875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第六条</w:t>
                  </w:r>
                  <w:r>
                    <w:rPr>
                      <w:rFonts w:hint="eastAsia" w:ascii="仿宋" w:hAnsi="仿宋" w:eastAsia="仿宋" w:cs="仿宋"/>
                      <w:color w:val="auto"/>
                      <w:sz w:val="32"/>
                      <w:szCs w:val="32"/>
                    </w:rPr>
                    <w:t>　社会治安综合治理工作由各级人民政府统一组织、协调实施。</w:t>
                  </w:r>
                </w:p>
              </w:tc>
            </w:tr>
            <w:tr>
              <w:tblPrEx>
                <w:tblLayout w:type="fixed"/>
                <w:tblCellMar>
                  <w:top w:w="15" w:type="dxa"/>
                  <w:left w:w="15" w:type="dxa"/>
                  <w:bottom w:w="15" w:type="dxa"/>
                  <w:right w:w="15" w:type="dxa"/>
                </w:tblCellMar>
              </w:tblPrEx>
              <w:trPr>
                <w:trHeight w:val="375" w:hRule="atLeast"/>
                <w:tblCellSpacing w:w="15" w:type="dxa"/>
              </w:trPr>
              <w:tc>
                <w:tcPr>
                  <w:tcW w:w="875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县级以上人民政府应当将社会治安综合治理工作纳入本行政区域国民经济和社会发展总体规划，列入各部门绩效考评内容。</w:t>
                  </w:r>
                </w:p>
              </w:tc>
            </w:tr>
            <w:tr>
              <w:tblPrEx>
                <w:tblLayout w:type="fixed"/>
                <w:tblCellMar>
                  <w:top w:w="15" w:type="dxa"/>
                  <w:left w:w="15" w:type="dxa"/>
                  <w:bottom w:w="15" w:type="dxa"/>
                  <w:right w:w="15" w:type="dxa"/>
                </w:tblCellMar>
              </w:tblPrEx>
              <w:trPr>
                <w:trHeight w:val="375" w:hRule="atLeast"/>
                <w:tblCellSpacing w:w="15" w:type="dxa"/>
              </w:trPr>
              <w:tc>
                <w:tcPr>
                  <w:tcW w:w="875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第七条</w:t>
                  </w:r>
                  <w:r>
                    <w:rPr>
                      <w:rFonts w:hint="eastAsia" w:ascii="仿宋" w:hAnsi="仿宋" w:eastAsia="仿宋" w:cs="仿宋"/>
                      <w:color w:val="auto"/>
                      <w:sz w:val="32"/>
                      <w:szCs w:val="32"/>
                    </w:rPr>
                    <w:t>　省、市（州）、县（市、区）、乡（镇）、街道办事处社会治安综合治理委员会负责组织、指导、协调、检查和督促本辖区的社会治安综合治理工作。</w:t>
                  </w:r>
                </w:p>
              </w:tc>
            </w:tr>
            <w:tr>
              <w:tblPrEx>
                <w:tblLayout w:type="fixed"/>
                <w:tblCellMar>
                  <w:top w:w="15" w:type="dxa"/>
                  <w:left w:w="15" w:type="dxa"/>
                  <w:bottom w:w="15" w:type="dxa"/>
                  <w:right w:w="15" w:type="dxa"/>
                </w:tblCellMar>
              </w:tblPrEx>
              <w:trPr>
                <w:trHeight w:val="375" w:hRule="atLeast"/>
                <w:tblCellSpacing w:w="15" w:type="dxa"/>
              </w:trPr>
              <w:tc>
                <w:tcPr>
                  <w:tcW w:w="875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社会治安综合治理委员会的办事机构负责日常工作。</w:t>
                  </w:r>
                </w:p>
              </w:tc>
            </w:tr>
            <w:tr>
              <w:tblPrEx>
                <w:tblLayout w:type="fixed"/>
                <w:tblCellMar>
                  <w:top w:w="15" w:type="dxa"/>
                  <w:left w:w="15" w:type="dxa"/>
                  <w:bottom w:w="15" w:type="dxa"/>
                  <w:right w:w="15" w:type="dxa"/>
                </w:tblCellMar>
              </w:tblPrEx>
              <w:trPr>
                <w:trHeight w:val="375" w:hRule="atLeast"/>
                <w:tblCellSpacing w:w="15" w:type="dxa"/>
              </w:trPr>
              <w:tc>
                <w:tcPr>
                  <w:tcW w:w="875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第八条</w:t>
                  </w:r>
                  <w:r>
                    <w:rPr>
                      <w:rFonts w:hint="eastAsia" w:ascii="仿宋" w:hAnsi="仿宋" w:eastAsia="仿宋" w:cs="仿宋"/>
                      <w:color w:val="auto"/>
                      <w:sz w:val="32"/>
                      <w:szCs w:val="32"/>
                    </w:rPr>
                    <w:t>　人民法院应当依法公正审判，完善审判监督制约机制，及时审理各种案件，做好未成年人犯罪的审判工作，规范执行工作；加强对人民调解委员会工作的指导，积极化解矛盾纠纷；结合办案提出司法建议，促进有关部门加强管理，消除治安隐患。</w:t>
                  </w:r>
                </w:p>
              </w:tc>
            </w:tr>
            <w:tr>
              <w:tblPrEx>
                <w:tblLayout w:type="fixed"/>
                <w:tblCellMar>
                  <w:top w:w="15" w:type="dxa"/>
                  <w:left w:w="15" w:type="dxa"/>
                  <w:bottom w:w="15" w:type="dxa"/>
                  <w:right w:w="15" w:type="dxa"/>
                </w:tblCellMar>
              </w:tblPrEx>
              <w:trPr>
                <w:trHeight w:val="375" w:hRule="atLeast"/>
                <w:tblCellSpacing w:w="15" w:type="dxa"/>
              </w:trPr>
              <w:tc>
                <w:tcPr>
                  <w:tcW w:w="875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第九条</w:t>
                  </w:r>
                  <w:r>
                    <w:rPr>
                      <w:rFonts w:hint="eastAsia" w:ascii="仿宋" w:hAnsi="仿宋" w:eastAsia="仿宋" w:cs="仿宋"/>
                      <w:color w:val="auto"/>
                      <w:sz w:val="32"/>
                      <w:szCs w:val="32"/>
                    </w:rPr>
                    <w:t>　人民检察院必须依法履行法律监督职能，维护司法公正；依法批捕、起诉；依法查处国家机关工作人员及其他人员的违法犯罪行为；及时受理控告、申诉和处理来信来访工作；配合有关部门做好未成年人犯罪的改造、教育、感化和挽救工作；结合办案提出检察建议，推动有关部门加强治安防范工作。</w:t>
                  </w:r>
                </w:p>
              </w:tc>
            </w:tr>
            <w:tr>
              <w:tblPrEx>
                <w:tblLayout w:type="fixed"/>
                <w:tblCellMar>
                  <w:top w:w="15" w:type="dxa"/>
                  <w:left w:w="15" w:type="dxa"/>
                  <w:bottom w:w="15" w:type="dxa"/>
                  <w:right w:w="15" w:type="dxa"/>
                </w:tblCellMar>
              </w:tblPrEx>
              <w:trPr>
                <w:trHeight w:val="375" w:hRule="atLeast"/>
                <w:tblCellSpacing w:w="15" w:type="dxa"/>
              </w:trPr>
              <w:tc>
                <w:tcPr>
                  <w:tcW w:w="875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第十条</w:t>
                  </w:r>
                  <w:r>
                    <w:rPr>
                      <w:rFonts w:hint="eastAsia" w:ascii="仿宋" w:hAnsi="仿宋" w:eastAsia="仿宋" w:cs="仿宋"/>
                      <w:color w:val="auto"/>
                      <w:sz w:val="32"/>
                      <w:szCs w:val="32"/>
                    </w:rPr>
                    <w:t>　公安部门应当依法预防、制止和打击违法犯罪活动。加强治安防范，特别加强对公共场所、特种行业及暂住人口的治安服务和管理；针对突出的治安问题或者治安秩序混乱的地区、行业开展专项整治；加强道路交通安全和消防管理；积极预防和依法妥善处置危害社会治安秩序的群体性事件及突发性事件；指导、检查社会治安群防群治工作；加强对基层治保委员会工作的指导。</w:t>
                  </w:r>
                </w:p>
              </w:tc>
            </w:tr>
            <w:tr>
              <w:tblPrEx>
                <w:tblLayout w:type="fixed"/>
                <w:tblCellMar>
                  <w:top w:w="15" w:type="dxa"/>
                  <w:left w:w="15" w:type="dxa"/>
                  <w:bottom w:w="15" w:type="dxa"/>
                  <w:right w:w="15" w:type="dxa"/>
                </w:tblCellMar>
              </w:tblPrEx>
              <w:trPr>
                <w:trHeight w:val="375" w:hRule="atLeast"/>
                <w:tblCellSpacing w:w="15" w:type="dxa"/>
              </w:trPr>
              <w:tc>
                <w:tcPr>
                  <w:tcW w:w="875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第十一条</w:t>
                  </w:r>
                  <w:r>
                    <w:rPr>
                      <w:rFonts w:hint="eastAsia" w:ascii="仿宋" w:hAnsi="仿宋" w:eastAsia="仿宋" w:cs="仿宋"/>
                      <w:color w:val="auto"/>
                      <w:sz w:val="32"/>
                      <w:szCs w:val="32"/>
                    </w:rPr>
                    <w:t>　国家安全部门应当加强对公民维护国家安全意识和相关法律、法规的宣传教育，指导机关、团体、企事业单位开展国家安全人民防线建设工作，依法打击危害国家安全的违法犯罪活动。</w:t>
                  </w:r>
                </w:p>
              </w:tc>
            </w:tr>
            <w:tr>
              <w:tblPrEx>
                <w:tblLayout w:type="fixed"/>
                <w:tblCellMar>
                  <w:top w:w="15" w:type="dxa"/>
                  <w:left w:w="15" w:type="dxa"/>
                  <w:bottom w:w="15" w:type="dxa"/>
                  <w:right w:w="15" w:type="dxa"/>
                </w:tblCellMar>
              </w:tblPrEx>
              <w:trPr>
                <w:trHeight w:val="375" w:hRule="atLeast"/>
                <w:tblCellSpacing w:w="15" w:type="dxa"/>
              </w:trPr>
              <w:tc>
                <w:tcPr>
                  <w:tcW w:w="875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第十二条</w:t>
                  </w:r>
                  <w:r>
                    <w:rPr>
                      <w:rFonts w:hint="eastAsia" w:ascii="仿宋" w:hAnsi="仿宋" w:eastAsia="仿宋" w:cs="仿宋"/>
                      <w:color w:val="auto"/>
                      <w:sz w:val="32"/>
                      <w:szCs w:val="32"/>
                    </w:rPr>
                    <w:t>　司法行政部门应当加强法制宣传教育、法律服务和法律援助工作；指导基层人民调解委员会调解民间纠纷，加强对监狱服刑人员和劳动教养人员的教育、改造、挽救和管理；会同有关部门做好管制、缓刑、暂予监（所）外执行、假释以及被剥夺政治权利、并在社会上服刑人员的社区矫正工作和刑满释放、解除劳教人员的帮教、就业工作。</w:t>
                  </w:r>
                </w:p>
              </w:tc>
            </w:tr>
            <w:tr>
              <w:tblPrEx>
                <w:tblLayout w:type="fixed"/>
                <w:tblCellMar>
                  <w:top w:w="15" w:type="dxa"/>
                  <w:left w:w="15" w:type="dxa"/>
                  <w:bottom w:w="15" w:type="dxa"/>
                  <w:right w:w="15" w:type="dxa"/>
                </w:tblCellMar>
              </w:tblPrEx>
              <w:trPr>
                <w:trHeight w:val="375" w:hRule="atLeast"/>
                <w:tblCellSpacing w:w="15" w:type="dxa"/>
              </w:trPr>
              <w:tc>
                <w:tcPr>
                  <w:tcW w:w="875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第十三条</w:t>
                  </w:r>
                  <w:r>
                    <w:rPr>
                      <w:rFonts w:hint="eastAsia" w:ascii="仿宋" w:hAnsi="仿宋" w:eastAsia="仿宋" w:cs="仿宋"/>
                      <w:color w:val="auto"/>
                      <w:sz w:val="32"/>
                      <w:szCs w:val="32"/>
                    </w:rPr>
                    <w:t>　人事、监察部门应当会同有关部门将社会治安综合治理工作纳入部门和领导干部绩效考评的内容，检查监督社会治安综合治理领导责任制的执行情况，完善并实施社会治安综合治理的奖惩制度。</w:t>
                  </w:r>
                </w:p>
              </w:tc>
            </w:tr>
            <w:tr>
              <w:tblPrEx>
                <w:tblLayout w:type="fixed"/>
                <w:tblCellMar>
                  <w:top w:w="15" w:type="dxa"/>
                  <w:left w:w="15" w:type="dxa"/>
                  <w:bottom w:w="15" w:type="dxa"/>
                  <w:right w:w="15" w:type="dxa"/>
                </w:tblCellMar>
              </w:tblPrEx>
              <w:trPr>
                <w:trHeight w:val="375" w:hRule="atLeast"/>
                <w:tblCellSpacing w:w="15" w:type="dxa"/>
              </w:trPr>
              <w:tc>
                <w:tcPr>
                  <w:tcW w:w="875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人事、劳动和社会保障部门应当加强人力资源市场管理，及时调解和处理劳动争议，维护劳动者合法权益。劳动和社会保障部门应当组织指导有关方面做好城乡待业人员的职业培训，拓宽就业渠道，安置待业人员；为刑满释放、解除劳动教养人员的就业提供帮助；加强对农村劳动力进城务工的统一管理。</w:t>
                  </w:r>
                </w:p>
              </w:tc>
            </w:tr>
            <w:tr>
              <w:tblPrEx>
                <w:tblLayout w:type="fixed"/>
                <w:tblCellMar>
                  <w:top w:w="15" w:type="dxa"/>
                  <w:left w:w="15" w:type="dxa"/>
                  <w:bottom w:w="15" w:type="dxa"/>
                  <w:right w:w="15" w:type="dxa"/>
                </w:tblCellMar>
              </w:tblPrEx>
              <w:trPr>
                <w:trHeight w:val="375" w:hRule="atLeast"/>
                <w:tblCellSpacing w:w="15" w:type="dxa"/>
              </w:trPr>
              <w:tc>
                <w:tcPr>
                  <w:tcW w:w="875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第十四条</w:t>
                  </w:r>
                  <w:r>
                    <w:rPr>
                      <w:rFonts w:hint="eastAsia" w:ascii="仿宋" w:hAnsi="仿宋" w:eastAsia="仿宋" w:cs="仿宋"/>
                      <w:color w:val="auto"/>
                      <w:sz w:val="32"/>
                      <w:szCs w:val="32"/>
                    </w:rPr>
                    <w:t>　民政部门应当加强对社区建设工作的督促和指导，将社会治安综合治理纳入社区建设内容；加强对城乡基层群众性自治组织</w:t>
                  </w:r>
                  <w:bookmarkStart w:id="0" w:name="_GoBack"/>
                  <w:bookmarkEnd w:id="0"/>
                  <w:r>
                    <w:rPr>
                      <w:rFonts w:hint="eastAsia" w:ascii="仿宋" w:hAnsi="仿宋" w:eastAsia="仿宋" w:cs="仿宋"/>
                      <w:color w:val="auto"/>
                      <w:sz w:val="32"/>
                      <w:szCs w:val="32"/>
                    </w:rPr>
                    <w:t>建设和民间组织管理；做好救灾救济、社会救助、社会福利、优抚安置和流浪乞讨人员的救助等工作。</w:t>
                  </w:r>
                </w:p>
              </w:tc>
            </w:tr>
            <w:tr>
              <w:tblPrEx>
                <w:tblLayout w:type="fixed"/>
                <w:tblCellMar>
                  <w:top w:w="15" w:type="dxa"/>
                  <w:left w:w="15" w:type="dxa"/>
                  <w:bottom w:w="15" w:type="dxa"/>
                  <w:right w:w="15" w:type="dxa"/>
                </w:tblCellMar>
              </w:tblPrEx>
              <w:trPr>
                <w:trHeight w:val="375" w:hRule="atLeast"/>
                <w:tblCellSpacing w:w="15" w:type="dxa"/>
              </w:trPr>
              <w:tc>
                <w:tcPr>
                  <w:tcW w:w="875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第十五条</w:t>
                  </w:r>
                  <w:r>
                    <w:rPr>
                      <w:rFonts w:hint="eastAsia" w:ascii="仿宋" w:hAnsi="仿宋" w:eastAsia="仿宋" w:cs="仿宋"/>
                      <w:color w:val="auto"/>
                      <w:sz w:val="32"/>
                      <w:szCs w:val="32"/>
                    </w:rPr>
                    <w:t>　信访部门应当组织、协调相关部门处理群众来信来访，排查化解社会矛盾和纠纷，协同有关部门妥善处理重大群体性上访事件，做好社会稳定工作。</w:t>
                  </w:r>
                </w:p>
              </w:tc>
            </w:tr>
            <w:tr>
              <w:tblPrEx>
                <w:tblLayout w:type="fixed"/>
                <w:tblCellMar>
                  <w:top w:w="15" w:type="dxa"/>
                  <w:left w:w="15" w:type="dxa"/>
                  <w:bottom w:w="15" w:type="dxa"/>
                  <w:right w:w="15" w:type="dxa"/>
                </w:tblCellMar>
              </w:tblPrEx>
              <w:trPr>
                <w:trHeight w:val="375" w:hRule="atLeast"/>
                <w:tblCellSpacing w:w="15" w:type="dxa"/>
              </w:trPr>
              <w:tc>
                <w:tcPr>
                  <w:tcW w:w="875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第十六条</w:t>
                  </w:r>
                  <w:r>
                    <w:rPr>
                      <w:rFonts w:hint="eastAsia" w:ascii="仿宋" w:hAnsi="仿宋" w:eastAsia="仿宋" w:cs="仿宋"/>
                      <w:color w:val="auto"/>
                      <w:sz w:val="32"/>
                      <w:szCs w:val="32"/>
                    </w:rPr>
                    <w:t>　民族、宗教部门应当依法加强对民族、宗教事务的管理，宣传国家民族、宗教法规和政策，会同有关部门及时调处民族、宗教纷争，预防、制止和打击违法宗教活动，维护民族团结和宗教领域稳定。</w:t>
                  </w:r>
                </w:p>
              </w:tc>
            </w:tr>
            <w:tr>
              <w:tblPrEx>
                <w:tblLayout w:type="fixed"/>
                <w:tblCellMar>
                  <w:top w:w="15" w:type="dxa"/>
                  <w:left w:w="15" w:type="dxa"/>
                  <w:bottom w:w="15" w:type="dxa"/>
                  <w:right w:w="15" w:type="dxa"/>
                </w:tblCellMar>
              </w:tblPrEx>
              <w:trPr>
                <w:trHeight w:val="375" w:hRule="atLeast"/>
                <w:tblCellSpacing w:w="15" w:type="dxa"/>
              </w:trPr>
              <w:tc>
                <w:tcPr>
                  <w:tcW w:w="875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第十七条</w:t>
                  </w:r>
                  <w:r>
                    <w:rPr>
                      <w:rFonts w:hint="eastAsia" w:ascii="仿宋" w:hAnsi="仿宋" w:eastAsia="仿宋" w:cs="仿宋"/>
                      <w:color w:val="auto"/>
                      <w:sz w:val="32"/>
                      <w:szCs w:val="32"/>
                    </w:rPr>
                    <w:t>　教育部门及各类学校应当加强对学生的法制、道德、纪律、安全教育，做好预防青少年违法犯罪的宣传教育工作；加强校园管理，配合有关部门维护学校及周边社会治安秩序。</w:t>
                  </w:r>
                </w:p>
              </w:tc>
            </w:tr>
            <w:tr>
              <w:tblPrEx>
                <w:tblLayout w:type="fixed"/>
                <w:tblCellMar>
                  <w:top w:w="15" w:type="dxa"/>
                  <w:left w:w="15" w:type="dxa"/>
                  <w:bottom w:w="15" w:type="dxa"/>
                  <w:right w:w="15" w:type="dxa"/>
                </w:tblCellMar>
              </w:tblPrEx>
              <w:trPr>
                <w:trHeight w:val="375" w:hRule="atLeast"/>
                <w:tblCellSpacing w:w="15" w:type="dxa"/>
              </w:trPr>
              <w:tc>
                <w:tcPr>
                  <w:tcW w:w="875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第十八条</w:t>
                  </w:r>
                  <w:r>
                    <w:rPr>
                      <w:rFonts w:hint="eastAsia" w:ascii="仿宋" w:hAnsi="仿宋" w:eastAsia="仿宋" w:cs="仿宋"/>
                      <w:color w:val="auto"/>
                      <w:sz w:val="32"/>
                      <w:szCs w:val="32"/>
                    </w:rPr>
                    <w:t>　文化、广播电视、新闻出版、信息产业等部门应当加强社会治安综合治理的宣传教育；依法加强对文化市场、娱乐场所、互联网、广播电视传输设施和网吧的安全管理；会同有关部门依法查处制作、出版、销售、传播含有危害国家安全、暴力、淫秽、迷信等内容的读物、电子信息和音像制品等违法犯罪行为。</w:t>
                  </w:r>
                </w:p>
              </w:tc>
            </w:tr>
            <w:tr>
              <w:tblPrEx>
                <w:tblLayout w:type="fixed"/>
                <w:tblCellMar>
                  <w:top w:w="15" w:type="dxa"/>
                  <w:left w:w="15" w:type="dxa"/>
                  <w:bottom w:w="15" w:type="dxa"/>
                  <w:right w:w="15" w:type="dxa"/>
                </w:tblCellMar>
              </w:tblPrEx>
              <w:trPr>
                <w:trHeight w:val="375" w:hRule="atLeast"/>
                <w:tblCellSpacing w:w="15" w:type="dxa"/>
              </w:trPr>
              <w:tc>
                <w:tcPr>
                  <w:tcW w:w="875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第十九条</w:t>
                  </w:r>
                  <w:r>
                    <w:rPr>
                      <w:rFonts w:hint="eastAsia" w:ascii="仿宋" w:hAnsi="仿宋" w:eastAsia="仿宋" w:cs="仿宋"/>
                      <w:color w:val="auto"/>
                      <w:sz w:val="32"/>
                      <w:szCs w:val="32"/>
                    </w:rPr>
                    <w:t>　工商行政管理、质量技术监督、税务及物价管理部门应当依法加强对市场的监督管理，维护市场秩序；会同有关部门依法查处和打击制售假冒伪劣商品、欺行霸市、强买强卖、不正当竞争、传销、偷税漏税、哄抬物价等违法活动。</w:t>
                  </w:r>
                </w:p>
              </w:tc>
            </w:tr>
            <w:tr>
              <w:tblPrEx>
                <w:tblLayout w:type="fixed"/>
                <w:tblCellMar>
                  <w:top w:w="15" w:type="dxa"/>
                  <w:left w:w="15" w:type="dxa"/>
                  <w:bottom w:w="15" w:type="dxa"/>
                  <w:right w:w="15" w:type="dxa"/>
                </w:tblCellMar>
              </w:tblPrEx>
              <w:trPr>
                <w:trHeight w:val="375" w:hRule="atLeast"/>
                <w:tblCellSpacing w:w="15" w:type="dxa"/>
              </w:trPr>
              <w:tc>
                <w:tcPr>
                  <w:tcW w:w="875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第二十条</w:t>
                  </w:r>
                  <w:r>
                    <w:rPr>
                      <w:rFonts w:hint="eastAsia" w:ascii="仿宋" w:hAnsi="仿宋" w:eastAsia="仿宋" w:cs="仿宋"/>
                      <w:color w:val="auto"/>
                      <w:sz w:val="32"/>
                      <w:szCs w:val="32"/>
                    </w:rPr>
                    <w:t>　卫生、食品和药品监督管理部门应当加强对医疗和食品、药品市场的监督管理；做好传染病的预防监测和治疗工作；依法管理麻醉药品和精神药品的生产、销售和使用，查禁有毒有害食品、假劣药品和不符合标准的医疗卫生器械、医用卫生材料；组织做好吸毒人员的治疗、康复工作和性病、艾滋病的预防、检查、收治工作。</w:t>
                  </w:r>
                </w:p>
              </w:tc>
            </w:tr>
            <w:tr>
              <w:tblPrEx>
                <w:tblLayout w:type="fixed"/>
                <w:tblCellMar>
                  <w:top w:w="15" w:type="dxa"/>
                  <w:left w:w="15" w:type="dxa"/>
                  <w:bottom w:w="15" w:type="dxa"/>
                  <w:right w:w="15" w:type="dxa"/>
                </w:tblCellMar>
              </w:tblPrEx>
              <w:trPr>
                <w:trHeight w:val="375" w:hRule="atLeast"/>
                <w:tblCellSpacing w:w="15" w:type="dxa"/>
              </w:trPr>
              <w:tc>
                <w:tcPr>
                  <w:tcW w:w="875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第二十一条</w:t>
                  </w:r>
                  <w:r>
                    <w:rPr>
                      <w:rFonts w:hint="eastAsia" w:ascii="仿宋" w:hAnsi="仿宋" w:eastAsia="仿宋" w:cs="仿宋"/>
                      <w:color w:val="auto"/>
                      <w:sz w:val="32"/>
                      <w:szCs w:val="32"/>
                    </w:rPr>
                    <w:t>　铁路、公路、水路、民航等交通运输管理部门应当加强运输安全管理，开展护路联防，协助有关部门打击抢劫、盗窃以及破坏交通运输设施、运输安全和利用交通工具进行违法犯罪的行为；配合有关部门维护和整顿车站、码头、机场的治安秩序；做好易燃、易爆、剧毒等违禁和管制物品的查堵工作。</w:t>
                  </w:r>
                </w:p>
              </w:tc>
            </w:tr>
            <w:tr>
              <w:tblPrEx>
                <w:tblLayout w:type="fixed"/>
                <w:tblCellMar>
                  <w:top w:w="15" w:type="dxa"/>
                  <w:left w:w="15" w:type="dxa"/>
                  <w:bottom w:w="15" w:type="dxa"/>
                  <w:right w:w="15" w:type="dxa"/>
                </w:tblCellMar>
              </w:tblPrEx>
              <w:trPr>
                <w:trHeight w:val="375" w:hRule="atLeast"/>
                <w:tblCellSpacing w:w="15" w:type="dxa"/>
              </w:trPr>
              <w:tc>
                <w:tcPr>
                  <w:tcW w:w="875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第二十二条</w:t>
                  </w:r>
                  <w:r>
                    <w:rPr>
                      <w:rFonts w:hint="eastAsia" w:ascii="仿宋" w:hAnsi="仿宋" w:eastAsia="仿宋" w:cs="仿宋"/>
                      <w:color w:val="auto"/>
                      <w:sz w:val="32"/>
                      <w:szCs w:val="32"/>
                    </w:rPr>
                    <w:t>　供水、供电、燃油、燃气等管理部门应当加强对设施的安全管护工作，严密防范措施，协同有关部门打击危害公共安全等违法犯罪行为。</w:t>
                  </w:r>
                </w:p>
              </w:tc>
            </w:tr>
            <w:tr>
              <w:tblPrEx>
                <w:tblLayout w:type="fixed"/>
                <w:tblCellMar>
                  <w:top w:w="15" w:type="dxa"/>
                  <w:left w:w="15" w:type="dxa"/>
                  <w:bottom w:w="15" w:type="dxa"/>
                  <w:right w:w="15" w:type="dxa"/>
                </w:tblCellMar>
              </w:tblPrEx>
              <w:trPr>
                <w:trHeight w:val="375" w:hRule="atLeast"/>
                <w:tblCellSpacing w:w="15" w:type="dxa"/>
              </w:trPr>
              <w:tc>
                <w:tcPr>
                  <w:tcW w:w="875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第二十三条</w:t>
                  </w:r>
                  <w:r>
                    <w:rPr>
                      <w:rFonts w:hint="eastAsia" w:ascii="仿宋" w:hAnsi="仿宋" w:eastAsia="仿宋" w:cs="仿宋"/>
                      <w:color w:val="auto"/>
                      <w:sz w:val="32"/>
                      <w:szCs w:val="32"/>
                    </w:rPr>
                    <w:t>　金融管理部门应当加强对金融机构安全防范工作的检查、监督和指导，严格内部安全管理，加强营业网点、金库、运钞、计算机、银行卡、联行密押、重要凭证、有价证券等安全防范；会同有关部门监督、检查、指导金融机构营业场所、金库、运钞车安全防护设施的配置建设；协助有关部门依法打击金融诈骗、洗钱、非法集资等各种侵害金融安全的犯罪行为。</w:t>
                  </w:r>
                </w:p>
              </w:tc>
            </w:tr>
            <w:tr>
              <w:tblPrEx>
                <w:tblLayout w:type="fixed"/>
                <w:tblCellMar>
                  <w:top w:w="15" w:type="dxa"/>
                  <w:left w:w="15" w:type="dxa"/>
                  <w:bottom w:w="15" w:type="dxa"/>
                  <w:right w:w="15" w:type="dxa"/>
                </w:tblCellMar>
              </w:tblPrEx>
              <w:trPr>
                <w:trHeight w:val="375" w:hRule="atLeast"/>
                <w:tblCellSpacing w:w="15" w:type="dxa"/>
              </w:trPr>
              <w:tc>
                <w:tcPr>
                  <w:tcW w:w="875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第二十四条</w:t>
                  </w:r>
                  <w:r>
                    <w:rPr>
                      <w:rFonts w:hint="eastAsia" w:ascii="仿宋" w:hAnsi="仿宋" w:eastAsia="仿宋" w:cs="仿宋"/>
                      <w:color w:val="auto"/>
                      <w:sz w:val="32"/>
                      <w:szCs w:val="32"/>
                    </w:rPr>
                    <w:t>　安全生产监督部门及其他职能部门应当加强安全生产监督管理，落实安全生产措施，会同有关部门及时查处生产安全事故责任单位及责任人，预防和减少生产安全事故。</w:t>
                  </w:r>
                </w:p>
              </w:tc>
            </w:tr>
            <w:tr>
              <w:tblPrEx>
                <w:tblLayout w:type="fixed"/>
                <w:tblCellMar>
                  <w:top w:w="15" w:type="dxa"/>
                  <w:left w:w="15" w:type="dxa"/>
                  <w:bottom w:w="15" w:type="dxa"/>
                  <w:right w:w="15" w:type="dxa"/>
                </w:tblCellMar>
              </w:tblPrEx>
              <w:trPr>
                <w:trHeight w:val="375" w:hRule="atLeast"/>
                <w:tblCellSpacing w:w="15" w:type="dxa"/>
              </w:trPr>
              <w:tc>
                <w:tcPr>
                  <w:tcW w:w="875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第二十五条</w:t>
                  </w:r>
                  <w:r>
                    <w:rPr>
                      <w:rFonts w:hint="eastAsia" w:ascii="仿宋" w:hAnsi="仿宋" w:eastAsia="仿宋" w:cs="仿宋"/>
                      <w:color w:val="auto"/>
                      <w:sz w:val="32"/>
                      <w:szCs w:val="32"/>
                    </w:rPr>
                    <w:t>　国土资源、建设、农业、林业、水利、人口与计划生育、环境保护等职能部门应当严格依法行政、依法管理，及时处理各种矛盾和纠纷。</w:t>
                  </w:r>
                </w:p>
              </w:tc>
            </w:tr>
            <w:tr>
              <w:tblPrEx>
                <w:tblLayout w:type="fixed"/>
                <w:tblCellMar>
                  <w:top w:w="15" w:type="dxa"/>
                  <w:left w:w="15" w:type="dxa"/>
                  <w:bottom w:w="15" w:type="dxa"/>
                  <w:right w:w="15" w:type="dxa"/>
                </w:tblCellMar>
              </w:tblPrEx>
              <w:trPr>
                <w:trHeight w:val="375" w:hRule="atLeast"/>
                <w:tblCellSpacing w:w="15" w:type="dxa"/>
              </w:trPr>
              <w:tc>
                <w:tcPr>
                  <w:tcW w:w="875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第二十六条</w:t>
                  </w:r>
                  <w:r>
                    <w:rPr>
                      <w:rFonts w:hint="eastAsia" w:ascii="仿宋" w:hAnsi="仿宋" w:eastAsia="仿宋" w:cs="仿宋"/>
                      <w:color w:val="auto"/>
                      <w:sz w:val="32"/>
                      <w:szCs w:val="32"/>
                    </w:rPr>
                    <w:t>　旅游管理部门应当会同有关部门加强对旅游服务机构、场所、设施的管理，落实治安责任制，防止发生危害公共安全和治安秩序等违法犯罪活动。</w:t>
                  </w:r>
                </w:p>
              </w:tc>
            </w:tr>
            <w:tr>
              <w:tblPrEx>
                <w:tblLayout w:type="fixed"/>
                <w:tblCellMar>
                  <w:top w:w="15" w:type="dxa"/>
                  <w:left w:w="15" w:type="dxa"/>
                  <w:bottom w:w="15" w:type="dxa"/>
                  <w:right w:w="15" w:type="dxa"/>
                </w:tblCellMar>
              </w:tblPrEx>
              <w:trPr>
                <w:trHeight w:val="375" w:hRule="atLeast"/>
                <w:tblCellSpacing w:w="15" w:type="dxa"/>
              </w:trPr>
              <w:tc>
                <w:tcPr>
                  <w:tcW w:w="875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第二十七条</w:t>
                  </w:r>
                  <w:r>
                    <w:rPr>
                      <w:rFonts w:hint="eastAsia" w:ascii="仿宋" w:hAnsi="仿宋" w:eastAsia="仿宋" w:cs="仿宋"/>
                      <w:color w:val="auto"/>
                      <w:sz w:val="32"/>
                      <w:szCs w:val="32"/>
                    </w:rPr>
                    <w:t>　海关及出入境管理部门应当加强对进出境人员、运输工具、货物、物品的监督管理，依法打击走私及其他违法犯罪行为。</w:t>
                  </w:r>
                </w:p>
              </w:tc>
            </w:tr>
            <w:tr>
              <w:tblPrEx>
                <w:tblLayout w:type="fixed"/>
                <w:tblCellMar>
                  <w:top w:w="15" w:type="dxa"/>
                  <w:left w:w="15" w:type="dxa"/>
                  <w:bottom w:w="15" w:type="dxa"/>
                  <w:right w:w="15" w:type="dxa"/>
                </w:tblCellMar>
              </w:tblPrEx>
              <w:trPr>
                <w:trHeight w:val="375" w:hRule="atLeast"/>
                <w:tblCellSpacing w:w="15" w:type="dxa"/>
              </w:trPr>
              <w:tc>
                <w:tcPr>
                  <w:tcW w:w="875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第二十八条</w:t>
                  </w:r>
                  <w:r>
                    <w:rPr>
                      <w:rFonts w:hint="eastAsia" w:ascii="仿宋" w:hAnsi="仿宋" w:eastAsia="仿宋" w:cs="仿宋"/>
                      <w:color w:val="auto"/>
                      <w:sz w:val="32"/>
                      <w:szCs w:val="32"/>
                    </w:rPr>
                    <w:t>　工会、共青团、妇联应当依法维护职工、青少年、妇女的合法权益，协助有关部门调查处理纠纷，预防和制止家庭暴力及有关违法犯罪行为。</w:t>
                  </w:r>
                </w:p>
              </w:tc>
            </w:tr>
            <w:tr>
              <w:tblPrEx>
                <w:tblLayout w:type="fixed"/>
                <w:tblCellMar>
                  <w:top w:w="15" w:type="dxa"/>
                  <w:left w:w="15" w:type="dxa"/>
                  <w:bottom w:w="15" w:type="dxa"/>
                  <w:right w:w="15" w:type="dxa"/>
                </w:tblCellMar>
              </w:tblPrEx>
              <w:trPr>
                <w:trHeight w:val="375" w:hRule="atLeast"/>
                <w:tblCellSpacing w:w="15" w:type="dxa"/>
              </w:trPr>
              <w:tc>
                <w:tcPr>
                  <w:tcW w:w="875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第二十九条</w:t>
                  </w:r>
                  <w:r>
                    <w:rPr>
                      <w:rFonts w:hint="eastAsia" w:ascii="仿宋" w:hAnsi="仿宋" w:eastAsia="仿宋" w:cs="仿宋"/>
                      <w:color w:val="auto"/>
                      <w:sz w:val="32"/>
                      <w:szCs w:val="32"/>
                    </w:rPr>
                    <w:t>　社区居民委员会和村民委员会应当宣传法律、法规，对居民、村民进行思想道德教育和法制宣传教育；建立健全治安保卫组织和人民调解组织，做好治安防范、民间纠纷排查调解和基层安全创建工作；协助有关部门做好流动人口和出租房屋的治安管理工作，协助有关部门查处各类案件，组织居民、村民参加各种形式的群防群治活动；配合有关部门做好社区矫正工作和刑满释放、解除劳教人员的帮教、就业工作。</w:t>
                  </w:r>
                </w:p>
              </w:tc>
            </w:tr>
            <w:tr>
              <w:tblPrEx>
                <w:tblLayout w:type="fixed"/>
                <w:tblCellMar>
                  <w:top w:w="15" w:type="dxa"/>
                  <w:left w:w="15" w:type="dxa"/>
                  <w:bottom w:w="15" w:type="dxa"/>
                  <w:right w:w="15" w:type="dxa"/>
                </w:tblCellMar>
              </w:tblPrEx>
              <w:trPr>
                <w:trHeight w:val="375" w:hRule="atLeast"/>
                <w:tblCellSpacing w:w="15" w:type="dxa"/>
              </w:trPr>
              <w:tc>
                <w:tcPr>
                  <w:tcW w:w="875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第三十条</w:t>
                  </w:r>
                  <w:r>
                    <w:rPr>
                      <w:rFonts w:hint="eastAsia" w:ascii="仿宋" w:hAnsi="仿宋" w:eastAsia="仿宋" w:cs="仿宋"/>
                      <w:color w:val="auto"/>
                      <w:sz w:val="32"/>
                      <w:szCs w:val="32"/>
                    </w:rPr>
                    <w:t>　各机关、团体、企业、事业单位和其他组织应当做好内部的安全防范和矛盾纠纷化解工作。</w:t>
                  </w:r>
                </w:p>
              </w:tc>
            </w:tr>
            <w:tr>
              <w:tblPrEx>
                <w:tblLayout w:type="fixed"/>
                <w:tblCellMar>
                  <w:top w:w="15" w:type="dxa"/>
                  <w:left w:w="15" w:type="dxa"/>
                  <w:bottom w:w="15" w:type="dxa"/>
                  <w:right w:w="15" w:type="dxa"/>
                </w:tblCellMar>
              </w:tblPrEx>
              <w:trPr>
                <w:trHeight w:val="375" w:hRule="atLeast"/>
                <w:tblCellSpacing w:w="15" w:type="dxa"/>
              </w:trPr>
              <w:tc>
                <w:tcPr>
                  <w:tcW w:w="875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第三十一条</w:t>
                  </w:r>
                  <w:r>
                    <w:rPr>
                      <w:rFonts w:hint="eastAsia" w:ascii="仿宋" w:hAnsi="仿宋" w:eastAsia="仿宋" w:cs="仿宋"/>
                      <w:color w:val="auto"/>
                      <w:sz w:val="32"/>
                      <w:szCs w:val="32"/>
                    </w:rPr>
                    <w:t>　物业管理、保安服务等社会服务机构应当依法履行安全管理和服务职责，做好责任区域的安全防范工作。</w:t>
                  </w:r>
                </w:p>
              </w:tc>
            </w:tr>
            <w:tr>
              <w:tblPrEx>
                <w:tblLayout w:type="fixed"/>
                <w:tblCellMar>
                  <w:top w:w="15" w:type="dxa"/>
                  <w:left w:w="15" w:type="dxa"/>
                  <w:bottom w:w="15" w:type="dxa"/>
                  <w:right w:w="15" w:type="dxa"/>
                </w:tblCellMar>
              </w:tblPrEx>
              <w:trPr>
                <w:trHeight w:val="375" w:hRule="atLeast"/>
                <w:tblCellSpacing w:w="15" w:type="dxa"/>
              </w:trPr>
              <w:tc>
                <w:tcPr>
                  <w:tcW w:w="875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第三十二条</w:t>
                  </w:r>
                  <w:r>
                    <w:rPr>
                      <w:rFonts w:hint="eastAsia" w:ascii="仿宋" w:hAnsi="仿宋" w:eastAsia="仿宋" w:cs="仿宋"/>
                      <w:color w:val="auto"/>
                      <w:sz w:val="32"/>
                      <w:szCs w:val="32"/>
                    </w:rPr>
                    <w:t>　公民应当参与社会治安综合治理工作，加强自身安全防范，自觉遵守国家法律和社会公德，维护社会治安秩序。</w:t>
                  </w:r>
                </w:p>
              </w:tc>
            </w:tr>
            <w:tr>
              <w:tblPrEx>
                <w:tblLayout w:type="fixed"/>
                <w:tblCellMar>
                  <w:top w:w="15" w:type="dxa"/>
                  <w:left w:w="15" w:type="dxa"/>
                  <w:bottom w:w="15" w:type="dxa"/>
                  <w:right w:w="15" w:type="dxa"/>
                </w:tblCellMar>
              </w:tblPrEx>
              <w:trPr>
                <w:trHeight w:val="375" w:hRule="atLeast"/>
                <w:tblCellSpacing w:w="15" w:type="dxa"/>
              </w:trPr>
              <w:tc>
                <w:tcPr>
                  <w:tcW w:w="875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第三十三条</w:t>
                  </w:r>
                  <w:r>
                    <w:rPr>
                      <w:rFonts w:hint="eastAsia" w:ascii="仿宋" w:hAnsi="仿宋" w:eastAsia="仿宋" w:cs="仿宋"/>
                      <w:color w:val="auto"/>
                      <w:sz w:val="32"/>
                      <w:szCs w:val="32"/>
                    </w:rPr>
                    <w:t>　各级人民政府应当从人力、物力、财力上对社会治安综合治理工作予以支持和保障，将社会治安综合治理工作经费列入财政预算，专款专用，并根据经济发展和财政收入增长适当增加投入。</w:t>
                  </w:r>
                </w:p>
              </w:tc>
            </w:tr>
            <w:tr>
              <w:tblPrEx>
                <w:tblLayout w:type="fixed"/>
                <w:tblCellMar>
                  <w:top w:w="15" w:type="dxa"/>
                  <w:left w:w="15" w:type="dxa"/>
                  <w:bottom w:w="15" w:type="dxa"/>
                  <w:right w:w="15" w:type="dxa"/>
                </w:tblCellMar>
              </w:tblPrEx>
              <w:trPr>
                <w:trHeight w:val="375" w:hRule="atLeast"/>
                <w:tblCellSpacing w:w="15" w:type="dxa"/>
              </w:trPr>
              <w:tc>
                <w:tcPr>
                  <w:tcW w:w="875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各机关、团体、企业、事业单位和其他组织应当安排必要经费用于开展社会治安综合治理工作。</w:t>
                  </w:r>
                </w:p>
              </w:tc>
            </w:tr>
            <w:tr>
              <w:tblPrEx>
                <w:tblLayout w:type="fixed"/>
                <w:tblCellMar>
                  <w:top w:w="15" w:type="dxa"/>
                  <w:left w:w="15" w:type="dxa"/>
                  <w:bottom w:w="15" w:type="dxa"/>
                  <w:right w:w="15" w:type="dxa"/>
                </w:tblCellMar>
              </w:tblPrEx>
              <w:trPr>
                <w:trHeight w:val="375" w:hRule="atLeast"/>
                <w:tblCellSpacing w:w="15" w:type="dxa"/>
              </w:trPr>
              <w:tc>
                <w:tcPr>
                  <w:tcW w:w="875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第三十四条</w:t>
                  </w:r>
                  <w:r>
                    <w:rPr>
                      <w:rFonts w:hint="eastAsia" w:ascii="仿宋" w:hAnsi="仿宋" w:eastAsia="仿宋" w:cs="仿宋"/>
                      <w:color w:val="auto"/>
                      <w:sz w:val="32"/>
                      <w:szCs w:val="32"/>
                    </w:rPr>
                    <w:t>　社会治安综合治理实行目标管理责任制和领导责任制。具体办法由省社会治安综合治理委员会制定。</w:t>
                  </w:r>
                </w:p>
              </w:tc>
            </w:tr>
            <w:tr>
              <w:tblPrEx>
                <w:tblLayout w:type="fixed"/>
                <w:tblCellMar>
                  <w:top w:w="15" w:type="dxa"/>
                  <w:left w:w="15" w:type="dxa"/>
                  <w:bottom w:w="15" w:type="dxa"/>
                  <w:right w:w="15" w:type="dxa"/>
                </w:tblCellMar>
              </w:tblPrEx>
              <w:trPr>
                <w:trHeight w:val="375" w:hRule="atLeast"/>
                <w:tblCellSpacing w:w="15" w:type="dxa"/>
              </w:trPr>
              <w:tc>
                <w:tcPr>
                  <w:tcW w:w="875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第三十五条</w:t>
                  </w:r>
                  <w:r>
                    <w:rPr>
                      <w:rFonts w:hint="eastAsia" w:ascii="仿宋" w:hAnsi="仿宋" w:eastAsia="仿宋" w:cs="仿宋"/>
                      <w:color w:val="auto"/>
                      <w:sz w:val="32"/>
                      <w:szCs w:val="32"/>
                    </w:rPr>
                    <w:t>　人民政府或者社会治安综合治理委员会应当对在社会治安综合治理工作中做出显著成绩的单位和个人，给予表彰、奖励。</w:t>
                  </w:r>
                </w:p>
              </w:tc>
            </w:tr>
            <w:tr>
              <w:tblPrEx>
                <w:tblLayout w:type="fixed"/>
                <w:tblCellMar>
                  <w:top w:w="15" w:type="dxa"/>
                  <w:left w:w="15" w:type="dxa"/>
                  <w:bottom w:w="15" w:type="dxa"/>
                  <w:right w:w="15" w:type="dxa"/>
                </w:tblCellMar>
              </w:tblPrEx>
              <w:trPr>
                <w:trHeight w:val="375" w:hRule="atLeast"/>
                <w:tblCellSpacing w:w="15" w:type="dxa"/>
              </w:trPr>
              <w:tc>
                <w:tcPr>
                  <w:tcW w:w="875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第三十六条</w:t>
                  </w:r>
                  <w:r>
                    <w:rPr>
                      <w:rFonts w:hint="eastAsia" w:ascii="仿宋" w:hAnsi="仿宋" w:eastAsia="仿宋" w:cs="仿宋"/>
                      <w:color w:val="auto"/>
                      <w:sz w:val="32"/>
                      <w:szCs w:val="32"/>
                    </w:rPr>
                    <w:t>　违反本条例规定，不履行或者怠于履行社会治安综合治理职责，造成治安秩序混乱，影响社会稳定的，由有关机关责令限期整改，逾期未整改的，予以通报批评。</w:t>
                  </w:r>
                </w:p>
              </w:tc>
            </w:tr>
            <w:tr>
              <w:tblPrEx>
                <w:tblLayout w:type="fixed"/>
                <w:tblCellMar>
                  <w:top w:w="15" w:type="dxa"/>
                  <w:left w:w="15" w:type="dxa"/>
                  <w:bottom w:w="15" w:type="dxa"/>
                  <w:right w:w="15" w:type="dxa"/>
                </w:tblCellMar>
              </w:tblPrEx>
              <w:trPr>
                <w:trHeight w:val="375" w:hRule="atLeast"/>
                <w:tblCellSpacing w:w="15" w:type="dxa"/>
              </w:trPr>
              <w:tc>
                <w:tcPr>
                  <w:tcW w:w="875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发生严重危害社会治安秩序的群体性事件、重大治安案件或者重大安全事故，造成严重损失或者恶劣影响的，对主管人员和其他直接责任人员由有关机关依法追究行政责任；构成犯罪的，依法追究刑事责任。县级以上社会治安综合治理委员会有权对其评选综合性荣誉称号，主要领导、主管领导和治安责任人评先受奖、晋职晋级资格实行一票否决。</w:t>
                  </w:r>
                </w:p>
              </w:tc>
            </w:tr>
            <w:tr>
              <w:tblPrEx>
                <w:tblLayout w:type="fixed"/>
                <w:tblCellMar>
                  <w:top w:w="15" w:type="dxa"/>
                  <w:left w:w="15" w:type="dxa"/>
                  <w:bottom w:w="15" w:type="dxa"/>
                  <w:right w:w="15" w:type="dxa"/>
                </w:tblCellMar>
              </w:tblPrEx>
              <w:trPr>
                <w:trHeight w:val="375" w:hRule="atLeast"/>
                <w:tblCellSpacing w:w="15" w:type="dxa"/>
              </w:trPr>
              <w:tc>
                <w:tcPr>
                  <w:tcW w:w="875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第三十七条</w:t>
                  </w:r>
                  <w:r>
                    <w:rPr>
                      <w:rFonts w:hint="eastAsia" w:ascii="仿宋" w:hAnsi="仿宋" w:eastAsia="仿宋" w:cs="仿宋"/>
                      <w:color w:val="auto"/>
                      <w:sz w:val="32"/>
                      <w:szCs w:val="32"/>
                    </w:rPr>
                    <w:t>　各机关、团体、企业、事业单位以及其他组织和个人在社会治安综合治理工作中弄虚作假、骗取荣誉的，由批准机关撤销荣誉称号，并追究直接负责的主管人员和其他直接责任人员的责任。</w:t>
                  </w:r>
                </w:p>
              </w:tc>
            </w:tr>
            <w:tr>
              <w:tblPrEx>
                <w:tblLayout w:type="fixed"/>
                <w:tblCellMar>
                  <w:top w:w="15" w:type="dxa"/>
                  <w:left w:w="15" w:type="dxa"/>
                  <w:bottom w:w="15" w:type="dxa"/>
                  <w:right w:w="15" w:type="dxa"/>
                </w:tblCellMar>
              </w:tblPrEx>
              <w:trPr>
                <w:trHeight w:val="375" w:hRule="atLeast"/>
                <w:tblCellSpacing w:w="15" w:type="dxa"/>
              </w:trPr>
              <w:tc>
                <w:tcPr>
                  <w:tcW w:w="875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第三十八条</w:t>
                  </w:r>
                  <w:r>
                    <w:rPr>
                      <w:rFonts w:hint="eastAsia" w:ascii="仿宋" w:hAnsi="仿宋" w:eastAsia="仿宋" w:cs="仿宋"/>
                      <w:color w:val="auto"/>
                      <w:sz w:val="32"/>
                      <w:szCs w:val="32"/>
                    </w:rPr>
                    <w:t>　本条例自2009年1月1日起施行。1992年7月13日吉林省第七届人民代表大会常务委员会第二十九次会议通过的《关于</w:t>
                  </w:r>
                  <w:r>
                    <w:rPr>
                      <w:rFonts w:hint="eastAsia" w:ascii="仿宋" w:hAnsi="仿宋" w:eastAsia="仿宋" w:cs="仿宋"/>
                      <w:color w:val="auto"/>
                      <w:sz w:val="32"/>
                      <w:szCs w:val="32"/>
                    </w:rPr>
                    <w:fldChar w:fldCharType="begin"/>
                  </w:r>
                  <w:r>
                    <w:rPr>
                      <w:rFonts w:hint="eastAsia" w:ascii="仿宋" w:hAnsi="仿宋" w:eastAsia="仿宋" w:cs="仿宋"/>
                      <w:color w:val="auto"/>
                      <w:sz w:val="32"/>
                      <w:szCs w:val="32"/>
                    </w:rPr>
                    <w:instrText xml:space="preserve"> HYPERLINK "http://law.npc.gov.cn:80/FLFG/flfgByID.action?txtid=58&amp;flfgID=49994&amp;showDetailType=QW" </w:instrText>
                  </w:r>
                  <w:r>
                    <w:rPr>
                      <w:rFonts w:hint="eastAsia" w:ascii="仿宋" w:hAnsi="仿宋" w:eastAsia="仿宋" w:cs="仿宋"/>
                      <w:color w:val="auto"/>
                      <w:sz w:val="32"/>
                      <w:szCs w:val="32"/>
                    </w:rPr>
                    <w:fldChar w:fldCharType="separate"/>
                  </w:r>
                  <w:r>
                    <w:rPr>
                      <w:rFonts w:hint="eastAsia" w:ascii="仿宋" w:hAnsi="仿宋" w:eastAsia="仿宋" w:cs="仿宋"/>
                      <w:color w:val="auto"/>
                      <w:sz w:val="32"/>
                      <w:szCs w:val="32"/>
                    </w:rPr>
                    <w:t>吉林省社会治安综合治理若干规定</w:t>
                  </w:r>
                  <w:r>
                    <w:rPr>
                      <w:rFonts w:hint="eastAsia" w:ascii="仿宋" w:hAnsi="仿宋" w:eastAsia="仿宋" w:cs="仿宋"/>
                      <w:color w:val="auto"/>
                      <w:sz w:val="32"/>
                      <w:szCs w:val="32"/>
                    </w:rPr>
                    <w:fldChar w:fldCharType="end"/>
                  </w:r>
                  <w:r>
                    <w:rPr>
                      <w:rFonts w:hint="eastAsia" w:ascii="仿宋" w:hAnsi="仿宋" w:eastAsia="仿宋" w:cs="仿宋"/>
                      <w:color w:val="auto"/>
                      <w:sz w:val="32"/>
                      <w:szCs w:val="32"/>
                    </w:rPr>
                    <w:t>》同时废止。</w:t>
                  </w:r>
                </w:p>
              </w:tc>
            </w:tr>
          </w:tbl>
          <w:p>
            <w:pPr>
              <w:adjustRightInd/>
              <w:snapToGrid/>
              <w:spacing w:after="0" w:line="375" w:lineRule="atLeast"/>
              <w:rPr>
                <w:rFonts w:ascii="宋体" w:hAnsi="宋体" w:eastAsia="宋体" w:cs="宋体"/>
                <w:sz w:val="18"/>
                <w:szCs w:val="18"/>
              </w:rPr>
            </w:pPr>
          </w:p>
        </w:tc>
      </w:tr>
    </w:tbl>
    <w:p>
      <w:pPr>
        <w:spacing w:line="220" w:lineRule="atLeast"/>
      </w:pPr>
    </w:p>
    <w:sectPr>
      <w:footerReference r:id="rId3" w:type="default"/>
      <w:footerReference r:id="rId4" w:type="even"/>
      <w:pgSz w:w="11906" w:h="16838"/>
      <w:pgMar w:top="2041" w:right="1531" w:bottom="2041" w:left="1531" w:header="708" w:footer="709" w:gutter="0"/>
      <w:paperSrc/>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49" o:spid="_x0000_s2049" o:spt="202" type="#_x0000_t202" style="position:absolute;left:0pt;margin-left:378.2pt;margin-top:-45.75pt;height:144pt;width:144pt;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t>－</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50" o:spid="_x0000_s2050" o:spt="202" type="#_x0000_t202" style="position:absolute;left:0pt;margin-left:15pt;margin-top:-40.5pt;height:144pt;width:144p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evenAndOddHeaders w:val="1"/>
  <w:drawingGridHorizontalSpacing w:val="158"/>
  <w:drawingGridVerticalSpacing w:val="290"/>
  <w:displayHorizontalDrawingGridEvery w:val="2"/>
  <w:displayVerticalDrawingGridEvery w:val="2"/>
  <w:characterSpacingControl w:val="doNotCompress"/>
  <w:hdrShapeDefaults>
    <o:shapelayout v:ext="edit">
      <o:idmap v:ext="edit" data="2"/>
    </o:shapelayout>
  </w:hdrShapeDefaults>
  <w:compat>
    <w:useFELayout/>
    <w:compatSetting w:name="compatibilityMode" w:uri="http://schemas.microsoft.com/office/word" w:val="12"/>
  </w:compat>
  <w:rsids>
    <w:rsidRoot w:val="00D31D50"/>
    <w:rsid w:val="00323B43"/>
    <w:rsid w:val="003D37D8"/>
    <w:rsid w:val="00426133"/>
    <w:rsid w:val="004358AB"/>
    <w:rsid w:val="008362C1"/>
    <w:rsid w:val="008B7726"/>
    <w:rsid w:val="008D6C19"/>
    <w:rsid w:val="00D31D50"/>
    <w:rsid w:val="15FE1F55"/>
    <w:rsid w:val="6B277101"/>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32"/>
      <w:szCs w:val="3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unhideWhenUsed/>
    <w:uiPriority w:val="99"/>
    <w:pPr>
      <w:tabs>
        <w:tab w:val="center" w:pos="4153"/>
        <w:tab w:val="right" w:pos="8306"/>
      </w:tabs>
      <w:snapToGrid w:val="0"/>
      <w:jc w:val="left"/>
    </w:pPr>
    <w:rPr>
      <w:sz w:val="18"/>
    </w:rPr>
  </w:style>
  <w:style w:type="paragraph" w:styleId="3">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Hyperlink"/>
    <w:basedOn w:val="4"/>
    <w:unhideWhenUsed/>
    <w:qFormat/>
    <w:uiPriority w:val="99"/>
    <w:rPr>
      <w:color w:val="0000FF"/>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A6CA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687</Words>
  <Characters>3917</Characters>
  <Lines>32</Lines>
  <Paragraphs>9</Paragraphs>
  <ScaleCrop>false</ScaleCrop>
  <LinksUpToDate>false</LinksUpToDate>
  <CharactersWithSpaces>4595</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hehe</dc:creator>
  <cp:lastModifiedBy>hehe</cp:lastModifiedBy>
  <dcterms:modified xsi:type="dcterms:W3CDTF">2016-10-07T13:34:52Z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