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color w:val="000000" w:themeColor="text1"/>
          <w:sz w:val="44"/>
          <w:szCs w:val="44"/>
          <w14:textFill>
            <w14:solidFill>
              <w14:schemeClr w14:val="tx1"/>
            </w14:solidFill>
          </w14:textFill>
        </w:rPr>
      </w:pPr>
      <w:r>
        <w:rPr>
          <w:rFonts w:hint="eastAsia" w:ascii="宋体" w:hAnsi="宋体"/>
          <w:b/>
          <w:color w:val="000000" w:themeColor="text1"/>
          <w:sz w:val="44"/>
          <w:szCs w:val="44"/>
          <w14:textFill>
            <w14:solidFill>
              <w14:schemeClr w14:val="tx1"/>
            </w14:solidFill>
          </w14:textFill>
        </w:rPr>
        <w:t>长春净月潭风景名胜区保护管理条例</w:t>
      </w:r>
    </w:p>
    <w:p>
      <w:pPr>
        <w:jc w:val="left"/>
        <w:rPr>
          <w:rFonts w:ascii="楷体_GB2312" w:hAnsi="宋体" w:eastAsia="楷体_GB2312" w:cs="宋体"/>
          <w:kern w:val="0"/>
          <w:sz w:val="32"/>
          <w:szCs w:val="32"/>
        </w:rPr>
      </w:pPr>
      <w:r>
        <w:rPr>
          <w:rFonts w:hint="eastAsia" w:ascii="楷体_GB2312" w:hAnsi="宋体" w:eastAsia="楷体_GB2312"/>
          <w:b/>
          <w:color w:val="000000" w:themeColor="text1"/>
          <w:sz w:val="32"/>
          <w:szCs w:val="32"/>
          <w14:textFill>
            <w14:solidFill>
              <w14:schemeClr w14:val="tx1"/>
            </w14:solidFill>
          </w14:textFill>
        </w:rPr>
        <w:t>（</w:t>
      </w:r>
      <w:r>
        <w:rPr>
          <w:rFonts w:hint="eastAsia" w:ascii="楷体_GB2312" w:eastAsia="楷体_GB2312"/>
          <w:color w:val="000000" w:themeColor="text1"/>
          <w:sz w:val="32"/>
          <w:szCs w:val="32"/>
          <w14:textFill>
            <w14:solidFill>
              <w14:schemeClr w14:val="tx1"/>
            </w14:solidFill>
          </w14:textFill>
        </w:rPr>
        <w:t>2015年8月31日长春市第十四届人民代表大会常务委员会</w:t>
      </w:r>
      <w:r>
        <w:rPr>
          <w:rFonts w:hint="eastAsia" w:ascii="楷体_GB2312" w:eastAsia="楷体_GB2312"/>
          <w:sz w:val="32"/>
          <w:szCs w:val="32"/>
        </w:rPr>
        <w:t>第二十次会议通过  2015年9月16日吉林省第十二届人民代表大会常务委员会第二十次会议批准  根据</w:t>
      </w:r>
      <w:r>
        <w:rPr>
          <w:rFonts w:hint="eastAsia" w:ascii="楷体_GB2312" w:hAnsi="宋体" w:eastAsia="楷体_GB2312" w:cs="宋体"/>
          <w:kern w:val="0"/>
          <w:sz w:val="32"/>
          <w:szCs w:val="32"/>
        </w:rPr>
        <w:t>2018年4月27日长春市第十五届人民代表大会常务委员会第十次会议通过  2018年7月27日吉林省第十三届人民代表大会常务委员会第四次会议批准的《长春市人大常委会关于废止和修改部分地方性法规的决定》修正）</w:t>
      </w:r>
    </w:p>
    <w:p>
      <w:pPr>
        <w:ind w:firstLine="640" w:firstLineChars="200"/>
        <w:rPr>
          <w:rFonts w:ascii="黑体" w:hAnsi="黑体" w:eastAsia="黑体"/>
          <w:color w:val="000000"/>
          <w:sz w:val="32"/>
          <w:szCs w:val="32"/>
        </w:rPr>
      </w:pP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第一条</w:t>
      </w:r>
      <w:r>
        <w:rPr>
          <w:rFonts w:hint="eastAsia" w:ascii="仿宋_GB2312"/>
          <w:color w:val="000000"/>
          <w:sz w:val="32"/>
          <w:szCs w:val="32"/>
        </w:rPr>
        <w:t xml:space="preserve"> </w:t>
      </w:r>
      <w:r>
        <w:rPr>
          <w:rFonts w:hint="eastAsia" w:ascii="仿宋_GB2312" w:eastAsia="仿宋_GB2312"/>
          <w:color w:val="000000"/>
          <w:sz w:val="32"/>
          <w:szCs w:val="32"/>
        </w:rPr>
        <w:t>为了加强净月潭风景名胜区（以下简称净月潭风景区)的管理，有效保护和合理利用风景名胜资源，根据有关法律、法规的规定，结合实际，制定本条例。</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第二条</w:t>
      </w:r>
      <w:r>
        <w:rPr>
          <w:rFonts w:hint="eastAsia" w:ascii="仿宋_GB2312"/>
          <w:color w:val="000000"/>
          <w:sz w:val="32"/>
          <w:szCs w:val="32"/>
        </w:rPr>
        <w:t xml:space="preserve"> </w:t>
      </w:r>
      <w:r>
        <w:rPr>
          <w:rFonts w:hint="eastAsia" w:ascii="仿宋_GB2312" w:eastAsia="仿宋_GB2312"/>
          <w:color w:val="000000"/>
          <w:sz w:val="32"/>
          <w:szCs w:val="32"/>
        </w:rPr>
        <w:t>本条例适用于净月潭风景区的规划、保护、利用和管理。</w:t>
      </w:r>
    </w:p>
    <w:p>
      <w:pPr>
        <w:pStyle w:val="6"/>
        <w:widowControl w:val="0"/>
        <w:spacing w:before="0" w:beforeAutospacing="0" w:after="0" w:afterAutospacing="0"/>
        <w:ind w:firstLine="640" w:firstLineChars="200"/>
        <w:jc w:val="both"/>
        <w:rPr>
          <w:rFonts w:ascii="仿宋_GB2312" w:hAnsi="Times New Roman" w:cs="Times New Roman"/>
          <w:color w:val="000000"/>
          <w:kern w:val="2"/>
          <w:sz w:val="32"/>
          <w:szCs w:val="32"/>
        </w:rPr>
      </w:pPr>
      <w:r>
        <w:rPr>
          <w:rFonts w:hint="eastAsia" w:ascii="黑体" w:eastAsia="黑体" w:cs="Times New Roman"/>
          <w:color w:val="000000"/>
          <w:kern w:val="2"/>
          <w:sz w:val="32"/>
          <w:szCs w:val="32"/>
        </w:rPr>
        <w:t>第三条</w:t>
      </w:r>
      <w:r>
        <w:rPr>
          <w:rFonts w:hint="eastAsia" w:ascii="仿宋_GB2312"/>
          <w:color w:val="000000"/>
          <w:sz w:val="32"/>
          <w:szCs w:val="32"/>
        </w:rPr>
        <w:t xml:space="preserve"> </w:t>
      </w:r>
      <w:r>
        <w:rPr>
          <w:rFonts w:hint="eastAsia" w:ascii="仿宋_GB2312" w:hAnsi="Times New Roman" w:cs="Times New Roman"/>
          <w:color w:val="000000"/>
          <w:kern w:val="2"/>
          <w:sz w:val="32"/>
          <w:szCs w:val="32"/>
        </w:rPr>
        <w:t>长春净月高新技术产业开发区管理委员会（以下简称净月区管委会）是市人民政府派出机构，负责净月潭风景区的保护、利用和管理工作。</w:t>
      </w:r>
    </w:p>
    <w:p>
      <w:pPr>
        <w:pStyle w:val="6"/>
        <w:widowControl w:val="0"/>
        <w:spacing w:before="0" w:beforeAutospacing="0" w:after="0" w:afterAutospacing="0"/>
        <w:ind w:firstLine="640" w:firstLineChars="200"/>
        <w:jc w:val="both"/>
        <w:rPr>
          <w:rFonts w:ascii="仿宋_GB2312" w:hAnsi="Times New Roman" w:cs="Times New Roman"/>
          <w:color w:val="000000"/>
          <w:kern w:val="2"/>
          <w:sz w:val="32"/>
          <w:szCs w:val="32"/>
        </w:rPr>
      </w:pPr>
      <w:r>
        <w:rPr>
          <w:rFonts w:hint="eastAsia" w:ascii="仿宋_GB2312" w:hAnsi="Times New Roman" w:cs="Times New Roman"/>
          <w:color w:val="000000"/>
          <w:kern w:val="2"/>
          <w:sz w:val="32"/>
          <w:szCs w:val="32"/>
        </w:rPr>
        <w:t>净月区管委会可以在净月潭风景区实行综合执法，相对集中行使行政处罚权。</w:t>
      </w:r>
    </w:p>
    <w:p>
      <w:pPr>
        <w:pStyle w:val="6"/>
        <w:widowControl w:val="0"/>
        <w:spacing w:before="0" w:beforeAutospacing="0" w:after="0" w:afterAutospacing="0"/>
        <w:ind w:firstLine="640" w:firstLineChars="200"/>
        <w:jc w:val="both"/>
        <w:rPr>
          <w:rFonts w:ascii="仿宋_GB2312" w:hAnsi="Times New Roman" w:cs="Times New Roman"/>
          <w:color w:val="000000"/>
          <w:kern w:val="2"/>
          <w:sz w:val="32"/>
          <w:szCs w:val="32"/>
        </w:rPr>
      </w:pPr>
      <w:r>
        <w:rPr>
          <w:rFonts w:hint="eastAsia" w:ascii="仿宋_GB2312" w:hAnsi="Times New Roman" w:cs="Times New Roman"/>
          <w:color w:val="000000"/>
          <w:kern w:val="2"/>
          <w:sz w:val="32"/>
          <w:szCs w:val="32"/>
        </w:rPr>
        <w:t>市人民政府有关部门应当按照各自职责，依法做好相关监督管理工作。</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Fonts w:hint="eastAsia" w:ascii="黑体" w:eastAsia="黑体" w:cs="Times New Roman"/>
          <w:color w:val="000000"/>
          <w:kern w:val="2"/>
          <w:sz w:val="32"/>
          <w:szCs w:val="32"/>
        </w:rPr>
        <w:t>第四条</w:t>
      </w:r>
      <w:r>
        <w:rPr>
          <w:rStyle w:val="7"/>
          <w:rFonts w:hint="eastAsia" w:ascii="仿宋_GB2312" w:hAnsi="仿宋"/>
          <w:snapToGrid w:val="0"/>
          <w:color w:val="000000"/>
          <w:sz w:val="32"/>
          <w:szCs w:val="32"/>
        </w:rPr>
        <w:t xml:space="preserve"> </w:t>
      </w:r>
      <w:r>
        <w:rPr>
          <w:rFonts w:hint="eastAsia" w:ascii="仿宋_GB2312" w:hAnsi="Times New Roman" w:cs="Times New Roman"/>
          <w:color w:val="000000"/>
          <w:kern w:val="2"/>
          <w:sz w:val="32"/>
          <w:szCs w:val="32"/>
        </w:rPr>
        <w:t>净月潭风景区具体范围为：北起石碑岭—净月潭大坝，南至南大顶子—马家岭，西起甘大山—邰家屯水库—长清公路，东至石碑岭—前罗全背—净月高新技术产业开发区与双阳区边界，面积为96.38平方公里。</w:t>
      </w:r>
    </w:p>
    <w:p>
      <w:pPr>
        <w:ind w:firstLine="640" w:firstLineChars="200"/>
        <w:rPr>
          <w:rStyle w:val="7"/>
          <w:rFonts w:ascii="仿宋_GB2312" w:hAnsi="仿宋" w:eastAsia="仿宋_GB2312"/>
          <w:snapToGrid w:val="0"/>
          <w:color w:val="000000"/>
          <w:sz w:val="32"/>
          <w:szCs w:val="32"/>
          <w:bdr w:val="single" w:color="auto" w:sz="4" w:space="0"/>
        </w:rPr>
      </w:pPr>
      <w:r>
        <w:rPr>
          <w:rFonts w:hint="eastAsia" w:ascii="黑体" w:hAnsi="宋体" w:eastAsia="黑体"/>
          <w:color w:val="000000"/>
          <w:sz w:val="32"/>
          <w:szCs w:val="32"/>
        </w:rPr>
        <w:t>第五条</w:t>
      </w:r>
      <w:r>
        <w:rPr>
          <w:rFonts w:hint="eastAsia" w:ascii="仿宋_GB2312" w:hAnsi="黑体" w:cs="黑体"/>
          <w:bCs/>
          <w:color w:val="000000"/>
          <w:sz w:val="32"/>
          <w:szCs w:val="32"/>
        </w:rPr>
        <w:t xml:space="preserve"> </w:t>
      </w:r>
      <w:r>
        <w:rPr>
          <w:rStyle w:val="7"/>
          <w:rFonts w:hint="eastAsia" w:ascii="仿宋_GB2312" w:hAnsi="仿宋" w:eastAsia="仿宋_GB2312"/>
          <w:snapToGrid w:val="0"/>
          <w:color w:val="000000"/>
          <w:sz w:val="32"/>
          <w:szCs w:val="32"/>
        </w:rPr>
        <w:t>净月区管委会可以根据生态</w:t>
      </w:r>
      <w:r>
        <w:rPr>
          <w:rStyle w:val="7"/>
          <w:rFonts w:hint="eastAsia" w:ascii="仿宋_GB2312" w:hAnsi="黑体" w:eastAsia="仿宋_GB2312" w:cs="黑体"/>
          <w:snapToGrid w:val="0"/>
          <w:color w:val="000000"/>
          <w:sz w:val="32"/>
          <w:szCs w:val="32"/>
        </w:rPr>
        <w:t>环境</w:t>
      </w:r>
      <w:r>
        <w:rPr>
          <w:rStyle w:val="7"/>
          <w:rFonts w:hint="eastAsia" w:ascii="仿宋_GB2312" w:hAnsi="仿宋" w:eastAsia="仿宋_GB2312"/>
          <w:snapToGrid w:val="0"/>
          <w:color w:val="000000"/>
          <w:sz w:val="32"/>
          <w:szCs w:val="32"/>
        </w:rPr>
        <w:t>保护的需要，在净月潭风景区内设置</w:t>
      </w:r>
      <w:r>
        <w:rPr>
          <w:rStyle w:val="7"/>
          <w:rFonts w:hint="eastAsia" w:ascii="仿宋_GB2312" w:hAnsi="黑体" w:eastAsia="仿宋_GB2312" w:cs="黑体"/>
          <w:snapToGrid w:val="0"/>
          <w:color w:val="000000"/>
          <w:sz w:val="32"/>
          <w:szCs w:val="32"/>
        </w:rPr>
        <w:t>封闭管理</w:t>
      </w:r>
      <w:r>
        <w:rPr>
          <w:rStyle w:val="7"/>
          <w:rFonts w:hint="eastAsia" w:ascii="仿宋_GB2312" w:hAnsi="仿宋" w:eastAsia="仿宋_GB2312"/>
          <w:snapToGrid w:val="0"/>
          <w:color w:val="000000"/>
          <w:sz w:val="32"/>
          <w:szCs w:val="32"/>
        </w:rPr>
        <w:t>区域和非开放区域。</w:t>
      </w:r>
    </w:p>
    <w:p>
      <w:pPr>
        <w:pStyle w:val="6"/>
        <w:widowControl w:val="0"/>
        <w:spacing w:before="0" w:beforeAutospacing="0" w:after="0" w:afterAutospacing="0"/>
        <w:ind w:firstLine="640" w:firstLineChars="200"/>
        <w:jc w:val="both"/>
        <w:rPr>
          <w:rFonts w:ascii="仿宋_GB2312" w:hAnsi="仿宋"/>
          <w:snapToGrid w:val="0"/>
          <w:color w:val="000000"/>
          <w:sz w:val="32"/>
          <w:szCs w:val="32"/>
        </w:rPr>
      </w:pPr>
      <w:r>
        <w:rPr>
          <w:rFonts w:hint="eastAsia" w:ascii="黑体" w:eastAsia="黑体" w:cs="Times New Roman"/>
          <w:color w:val="000000"/>
          <w:kern w:val="2"/>
          <w:sz w:val="32"/>
          <w:szCs w:val="32"/>
        </w:rPr>
        <w:t>第六条</w:t>
      </w:r>
      <w:r>
        <w:rPr>
          <w:rFonts w:hint="eastAsia" w:ascii="仿宋_GB2312" w:hAnsi="黑体" w:cs="黑体"/>
          <w:bCs/>
          <w:color w:val="000000"/>
          <w:sz w:val="32"/>
          <w:szCs w:val="32"/>
        </w:rPr>
        <w:t xml:space="preserve"> </w:t>
      </w:r>
      <w:r>
        <w:rPr>
          <w:rFonts w:hint="eastAsia" w:ascii="仿宋_GB2312" w:hAnsi="仿宋_GB2312" w:cs="仿宋_GB2312"/>
          <w:bCs/>
          <w:color w:val="000000"/>
          <w:sz w:val="32"/>
          <w:szCs w:val="32"/>
        </w:rPr>
        <w:t>净月潭</w:t>
      </w:r>
      <w:r>
        <w:rPr>
          <w:rStyle w:val="7"/>
          <w:rFonts w:hint="eastAsia" w:ascii="仿宋_GB2312" w:hAnsi="仿宋"/>
          <w:snapToGrid w:val="0"/>
          <w:color w:val="000000"/>
          <w:sz w:val="32"/>
          <w:szCs w:val="32"/>
        </w:rPr>
        <w:t>风景区</w:t>
      </w:r>
      <w:r>
        <w:rPr>
          <w:rFonts w:hint="eastAsia" w:ascii="仿宋_GB2312"/>
          <w:bCs/>
          <w:smallCaps/>
          <w:color w:val="000000"/>
          <w:sz w:val="32"/>
          <w:szCs w:val="32"/>
        </w:rPr>
        <w:t>遵循</w:t>
      </w:r>
      <w:r>
        <w:rPr>
          <w:rFonts w:hint="eastAsia" w:ascii="仿宋_GB2312" w:hAnsi="仿宋"/>
          <w:bCs/>
          <w:smallCaps/>
          <w:color w:val="000000"/>
          <w:sz w:val="32"/>
          <w:szCs w:val="32"/>
        </w:rPr>
        <w:t xml:space="preserve">科学规划、统一管理、严格保护、永续利用的原则。 </w:t>
      </w:r>
    </w:p>
    <w:p>
      <w:pPr>
        <w:pStyle w:val="6"/>
        <w:widowControl w:val="0"/>
        <w:spacing w:before="0" w:beforeAutospacing="0" w:after="0" w:afterAutospacing="0"/>
        <w:ind w:firstLine="640" w:firstLineChars="200"/>
        <w:jc w:val="both"/>
        <w:rPr>
          <w:rFonts w:ascii="仿宋_GB2312" w:hAnsi="黑体"/>
          <w:snapToGrid w:val="0"/>
          <w:color w:val="000000"/>
          <w:sz w:val="32"/>
          <w:szCs w:val="32"/>
        </w:rPr>
      </w:pPr>
      <w:r>
        <w:rPr>
          <w:rFonts w:hint="eastAsia" w:ascii="黑体" w:eastAsia="黑体" w:cs="Times New Roman"/>
          <w:color w:val="000000"/>
          <w:kern w:val="2"/>
          <w:sz w:val="32"/>
          <w:szCs w:val="32"/>
        </w:rPr>
        <w:t>第七条</w:t>
      </w:r>
      <w:r>
        <w:rPr>
          <w:rFonts w:hint="eastAsia" w:ascii="仿宋_GB2312"/>
          <w:color w:val="000000"/>
          <w:sz w:val="32"/>
          <w:szCs w:val="32"/>
        </w:rPr>
        <w:t xml:space="preserve"> </w:t>
      </w:r>
      <w:r>
        <w:rPr>
          <w:rStyle w:val="7"/>
          <w:rFonts w:hint="eastAsia" w:ascii="仿宋_GB2312" w:hAnsi="黑体"/>
          <w:snapToGrid w:val="0"/>
          <w:color w:val="000000"/>
          <w:sz w:val="32"/>
          <w:szCs w:val="32"/>
        </w:rPr>
        <w:t>市</w:t>
      </w:r>
      <w:r>
        <w:rPr>
          <w:rFonts w:hint="eastAsia" w:ascii="仿宋_GB2312" w:hAnsi="黑体"/>
          <w:snapToGrid w:val="0"/>
          <w:color w:val="000000"/>
          <w:sz w:val="32"/>
          <w:szCs w:val="32"/>
        </w:rPr>
        <w:t>人民政府应当将净月潭风景区保护工作纳入国民经济和社会发展计划，保障净月潭风景区生态</w:t>
      </w:r>
      <w:r>
        <w:rPr>
          <w:rStyle w:val="7"/>
          <w:rFonts w:hint="eastAsia" w:ascii="仿宋_GB2312" w:hAnsi="黑体" w:cs="黑体"/>
          <w:snapToGrid w:val="0"/>
          <w:color w:val="000000"/>
          <w:sz w:val="32"/>
          <w:szCs w:val="32"/>
        </w:rPr>
        <w:t>环境</w:t>
      </w:r>
      <w:r>
        <w:rPr>
          <w:rFonts w:hint="eastAsia" w:ascii="仿宋_GB2312" w:hAnsi="黑体"/>
          <w:snapToGrid w:val="0"/>
          <w:color w:val="000000"/>
          <w:sz w:val="32"/>
          <w:szCs w:val="32"/>
        </w:rPr>
        <w:t>保护的经费投入。</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Fonts w:hint="eastAsia" w:ascii="黑体" w:eastAsia="黑体" w:cs="Times New Roman"/>
          <w:color w:val="000000"/>
          <w:kern w:val="2"/>
          <w:sz w:val="32"/>
          <w:szCs w:val="32"/>
        </w:rPr>
        <w:t>第八条</w:t>
      </w:r>
      <w:r>
        <w:rPr>
          <w:rStyle w:val="7"/>
          <w:rFonts w:hint="eastAsia" w:ascii="仿宋_GB2312" w:hAnsi="黑体" w:cs="黑体"/>
          <w:snapToGrid w:val="0"/>
          <w:color w:val="000000"/>
          <w:sz w:val="32"/>
          <w:szCs w:val="32"/>
        </w:rPr>
        <w:t xml:space="preserve"> </w:t>
      </w:r>
      <w:r>
        <w:rPr>
          <w:rStyle w:val="7"/>
          <w:rFonts w:hint="eastAsia" w:ascii="仿宋_GB2312" w:hAnsi="仿宋"/>
          <w:snapToGrid w:val="0"/>
          <w:color w:val="000000"/>
          <w:sz w:val="32"/>
          <w:szCs w:val="32"/>
        </w:rPr>
        <w:t>净月潭风景区规划分为总体规划和详细规划。</w:t>
      </w:r>
    </w:p>
    <w:p>
      <w:pPr>
        <w:pStyle w:val="6"/>
        <w:widowControl w:val="0"/>
        <w:spacing w:before="0" w:beforeAutospacing="0" w:after="0" w:afterAutospacing="0"/>
        <w:ind w:firstLine="636"/>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总体规划报批前，应当提请市人民代表大会常务委员会审议；详细规划经批准后，应当报请市人民代表大会常务委员会备案。</w:t>
      </w:r>
    </w:p>
    <w:p>
      <w:pPr>
        <w:pStyle w:val="6"/>
        <w:widowControl w:val="0"/>
        <w:spacing w:before="0" w:beforeAutospacing="0" w:after="0" w:afterAutospacing="0"/>
        <w:ind w:firstLine="636"/>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经批准的净月潭风景区规划应当向社会公布。</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Fonts w:hint="eastAsia" w:ascii="黑体" w:eastAsia="黑体" w:cs="Times New Roman"/>
          <w:color w:val="000000"/>
          <w:kern w:val="2"/>
          <w:sz w:val="32"/>
          <w:szCs w:val="32"/>
        </w:rPr>
        <w:t>第九条</w:t>
      </w:r>
      <w:r>
        <w:rPr>
          <w:rStyle w:val="7"/>
          <w:rFonts w:hint="eastAsia" w:ascii="仿宋_GB2312" w:hAnsi="仿宋"/>
          <w:snapToGrid w:val="0"/>
          <w:color w:val="000000"/>
          <w:sz w:val="32"/>
          <w:szCs w:val="32"/>
        </w:rPr>
        <w:t xml:space="preserve"> </w:t>
      </w:r>
      <w:r>
        <w:rPr>
          <w:rStyle w:val="7"/>
          <w:rFonts w:hint="eastAsia" w:ascii="仿宋_GB2312" w:hAnsi="黑体" w:cs="黑体"/>
          <w:snapToGrid w:val="0"/>
          <w:color w:val="000000"/>
          <w:sz w:val="32"/>
          <w:szCs w:val="32"/>
        </w:rPr>
        <w:t>经批准的净月潭风景区总体规划和详细规划，任何单位和个人不得擅自变更或者调整。</w:t>
      </w:r>
      <w:r>
        <w:rPr>
          <w:rStyle w:val="7"/>
          <w:rFonts w:hint="eastAsia" w:ascii="仿宋_GB2312" w:hAnsi="仿宋"/>
          <w:snapToGrid w:val="0"/>
          <w:color w:val="000000"/>
          <w:sz w:val="32"/>
          <w:szCs w:val="32"/>
        </w:rPr>
        <w:t>确需</w:t>
      </w:r>
      <w:r>
        <w:rPr>
          <w:rStyle w:val="7"/>
          <w:rFonts w:hint="eastAsia" w:ascii="仿宋_GB2312" w:hAnsi="黑体" w:cs="黑体"/>
          <w:snapToGrid w:val="0"/>
          <w:color w:val="000000"/>
          <w:sz w:val="32"/>
          <w:szCs w:val="32"/>
        </w:rPr>
        <w:t>变更或者调整的，</w:t>
      </w:r>
      <w:r>
        <w:rPr>
          <w:rStyle w:val="7"/>
          <w:rFonts w:hint="eastAsia" w:ascii="仿宋_GB2312" w:hAnsi="仿宋"/>
          <w:snapToGrid w:val="0"/>
          <w:color w:val="000000"/>
          <w:sz w:val="32"/>
          <w:szCs w:val="32"/>
        </w:rPr>
        <w:t>应当报原审批机关批准。</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仿宋_GB2312" w:hAnsi="黑体" w:cs="黑体"/>
          <w:snapToGrid w:val="0"/>
          <w:color w:val="000000"/>
          <w:sz w:val="32"/>
          <w:szCs w:val="32"/>
        </w:rPr>
        <w:t>确因</w:t>
      </w:r>
      <w:r>
        <w:rPr>
          <w:rStyle w:val="7"/>
          <w:rFonts w:hint="eastAsia" w:ascii="仿宋_GB2312" w:hAnsi="仿宋"/>
          <w:snapToGrid w:val="0"/>
          <w:color w:val="000000"/>
          <w:sz w:val="32"/>
          <w:szCs w:val="32"/>
        </w:rPr>
        <w:t>修改净月潭风景区规划对公民、法人或者其他组织造成财产损失的，应当依法给予补偿。</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Fonts w:hint="eastAsia" w:ascii="黑体" w:eastAsia="黑体" w:cs="Times New Roman"/>
          <w:color w:val="000000"/>
          <w:kern w:val="2"/>
          <w:sz w:val="32"/>
          <w:szCs w:val="32"/>
        </w:rPr>
        <w:t>第十条</w:t>
      </w:r>
      <w:r>
        <w:rPr>
          <w:rStyle w:val="7"/>
          <w:rFonts w:hint="eastAsia" w:ascii="仿宋_GB2312" w:hAnsi="黑体"/>
          <w:snapToGrid w:val="0"/>
          <w:color w:val="000000"/>
          <w:sz w:val="32"/>
          <w:szCs w:val="32"/>
        </w:rPr>
        <w:t xml:space="preserve"> </w:t>
      </w:r>
      <w:r>
        <w:rPr>
          <w:rStyle w:val="7"/>
          <w:rFonts w:hint="eastAsia" w:ascii="仿宋_GB2312" w:hAnsi="仿宋"/>
          <w:snapToGrid w:val="0"/>
          <w:color w:val="000000"/>
          <w:sz w:val="32"/>
          <w:szCs w:val="32"/>
        </w:rPr>
        <w:t>根据生态环境保护需要，净月潭风景区边界外延</w:t>
      </w:r>
      <w:r>
        <w:rPr>
          <w:rStyle w:val="7"/>
          <w:rFonts w:hint="eastAsia" w:ascii="仿宋_GB2312" w:hAnsi="黑体" w:cs="黑体"/>
          <w:snapToGrid w:val="0"/>
          <w:color w:val="000000"/>
          <w:sz w:val="32"/>
          <w:szCs w:val="32"/>
        </w:rPr>
        <w:t>600</w:t>
      </w:r>
      <w:r>
        <w:rPr>
          <w:rStyle w:val="7"/>
          <w:rFonts w:hint="eastAsia" w:ascii="仿宋_GB2312" w:hAnsi="仿宋"/>
          <w:snapToGrid w:val="0"/>
          <w:color w:val="000000"/>
          <w:sz w:val="32"/>
          <w:szCs w:val="32"/>
        </w:rPr>
        <w:t>米区域为规划控制区。</w:t>
      </w:r>
    </w:p>
    <w:p>
      <w:pPr>
        <w:pStyle w:val="6"/>
        <w:widowControl w:val="0"/>
        <w:spacing w:before="0" w:beforeAutospacing="0" w:after="0" w:afterAutospacing="0"/>
        <w:ind w:firstLine="660"/>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规划控制区内规划建设的建筑物、构筑物的布局、高度、体量、造型、色彩等应当与净月潭风景区自然景观和生态环境相协调。</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任何单位和个人</w:t>
      </w:r>
      <w:r>
        <w:rPr>
          <w:rStyle w:val="7"/>
          <w:rFonts w:hint="eastAsia" w:ascii="仿宋_GB2312" w:hAnsi="黑体" w:cs="黑体"/>
          <w:snapToGrid w:val="0"/>
          <w:color w:val="000000"/>
          <w:sz w:val="32"/>
          <w:szCs w:val="32"/>
        </w:rPr>
        <w:t>不得在规划控制区内进行开矿、采砂等破坏</w:t>
      </w:r>
      <w:r>
        <w:rPr>
          <w:rStyle w:val="7"/>
          <w:rFonts w:hint="eastAsia" w:ascii="仿宋_GB2312" w:hAnsi="仿宋"/>
          <w:snapToGrid w:val="0"/>
          <w:color w:val="000000"/>
          <w:sz w:val="32"/>
          <w:szCs w:val="32"/>
        </w:rPr>
        <w:t>自然景观和生态环境</w:t>
      </w:r>
      <w:r>
        <w:rPr>
          <w:rStyle w:val="7"/>
          <w:rFonts w:hint="eastAsia" w:ascii="仿宋_GB2312" w:hAnsi="黑体" w:cs="黑体"/>
          <w:snapToGrid w:val="0"/>
          <w:color w:val="000000"/>
          <w:sz w:val="32"/>
          <w:szCs w:val="32"/>
        </w:rPr>
        <w:t>的</w:t>
      </w:r>
      <w:r>
        <w:rPr>
          <w:rStyle w:val="7"/>
          <w:rFonts w:hint="eastAsia" w:ascii="仿宋_GB2312" w:hAnsi="仿宋"/>
          <w:snapToGrid w:val="0"/>
          <w:color w:val="000000"/>
          <w:sz w:val="32"/>
          <w:szCs w:val="32"/>
        </w:rPr>
        <w:t>活动。</w:t>
      </w:r>
    </w:p>
    <w:p>
      <w:pPr>
        <w:pStyle w:val="6"/>
        <w:widowControl w:val="0"/>
        <w:spacing w:before="0" w:beforeAutospacing="0" w:after="0" w:afterAutospacing="0"/>
        <w:ind w:firstLine="660"/>
        <w:jc w:val="both"/>
        <w:rPr>
          <w:rStyle w:val="7"/>
          <w:rFonts w:ascii="仿宋_GB2312" w:hAnsi="黑体" w:cs="黑体"/>
          <w:snapToGrid w:val="0"/>
          <w:color w:val="000000"/>
          <w:sz w:val="32"/>
          <w:szCs w:val="32"/>
        </w:rPr>
      </w:pPr>
      <w:r>
        <w:rPr>
          <w:rStyle w:val="7"/>
          <w:rFonts w:hint="eastAsia" w:ascii="黑体" w:hAnsi="黑体" w:eastAsia="黑体" w:cs="黑体"/>
          <w:snapToGrid w:val="0"/>
          <w:color w:val="000000"/>
          <w:sz w:val="32"/>
          <w:szCs w:val="32"/>
        </w:rPr>
        <w:t>第十一条</w:t>
      </w:r>
      <w:r>
        <w:rPr>
          <w:rStyle w:val="7"/>
          <w:rFonts w:hint="eastAsia" w:ascii="仿宋_GB2312" w:hAnsi="黑体" w:cs="黑体"/>
          <w:snapToGrid w:val="0"/>
          <w:color w:val="000000"/>
          <w:sz w:val="32"/>
          <w:szCs w:val="32"/>
        </w:rPr>
        <w:t xml:space="preserve"> 规划控制区的规划建设由市城乡规划主管部门审批。</w:t>
      </w:r>
    </w:p>
    <w:p>
      <w:pPr>
        <w:pStyle w:val="6"/>
        <w:widowControl w:val="0"/>
        <w:spacing w:before="0" w:beforeAutospacing="0" w:after="0" w:afterAutospacing="0"/>
        <w:ind w:firstLine="660"/>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市人民政府</w:t>
      </w:r>
      <w:r>
        <w:rPr>
          <w:rStyle w:val="7"/>
          <w:rFonts w:hint="eastAsia" w:ascii="仿宋_GB2312" w:hAnsi="黑体" w:cs="黑体"/>
          <w:snapToGrid w:val="0"/>
          <w:color w:val="000000"/>
          <w:sz w:val="32"/>
          <w:szCs w:val="32"/>
        </w:rPr>
        <w:t>应当</w:t>
      </w:r>
      <w:r>
        <w:rPr>
          <w:rStyle w:val="7"/>
          <w:rFonts w:hint="eastAsia" w:ascii="仿宋_GB2312" w:hAnsi="仿宋"/>
          <w:snapToGrid w:val="0"/>
          <w:color w:val="000000"/>
          <w:sz w:val="32"/>
          <w:szCs w:val="32"/>
        </w:rPr>
        <w:t>组织净月区管委会、二道区人民政府、双阳区人民政府和市人民政府有关部门对规划控制区内的规划建设进行衔接，</w:t>
      </w:r>
      <w:r>
        <w:rPr>
          <w:rStyle w:val="7"/>
          <w:rFonts w:hint="eastAsia" w:ascii="仿宋_GB2312" w:hAnsi="黑体" w:cs="黑体"/>
          <w:snapToGrid w:val="0"/>
          <w:color w:val="000000"/>
          <w:sz w:val="32"/>
          <w:szCs w:val="32"/>
        </w:rPr>
        <w:t>并对</w:t>
      </w:r>
      <w:r>
        <w:rPr>
          <w:rStyle w:val="7"/>
          <w:rFonts w:hint="eastAsia" w:ascii="仿宋_GB2312" w:hAnsi="仿宋"/>
          <w:snapToGrid w:val="0"/>
          <w:color w:val="000000"/>
          <w:sz w:val="32"/>
          <w:szCs w:val="32"/>
        </w:rPr>
        <w:t>污染源</w:t>
      </w:r>
      <w:r>
        <w:rPr>
          <w:rStyle w:val="7"/>
          <w:rFonts w:hint="eastAsia" w:ascii="仿宋_GB2312" w:hAnsi="黑体" w:cs="黑体"/>
          <w:snapToGrid w:val="0"/>
          <w:color w:val="000000"/>
          <w:sz w:val="32"/>
          <w:szCs w:val="32"/>
        </w:rPr>
        <w:t>、林业有害生物灾害</w:t>
      </w:r>
      <w:r>
        <w:rPr>
          <w:rStyle w:val="7"/>
          <w:rFonts w:hint="eastAsia" w:ascii="仿宋_GB2312" w:hAnsi="仿宋"/>
          <w:snapToGrid w:val="0"/>
          <w:color w:val="000000"/>
          <w:sz w:val="32"/>
          <w:szCs w:val="32"/>
        </w:rPr>
        <w:t>、水土流失等</w:t>
      </w:r>
      <w:r>
        <w:rPr>
          <w:rStyle w:val="7"/>
          <w:rFonts w:hint="eastAsia" w:ascii="仿宋_GB2312" w:hAnsi="黑体" w:cs="黑体"/>
          <w:snapToGrid w:val="0"/>
          <w:color w:val="000000"/>
          <w:sz w:val="32"/>
          <w:szCs w:val="32"/>
        </w:rPr>
        <w:t>隐患</w:t>
      </w:r>
      <w:r>
        <w:rPr>
          <w:rFonts w:hint="eastAsia" w:ascii="仿宋_GB2312" w:hAnsi="黑体" w:cs="黑体"/>
          <w:snapToGrid w:val="0"/>
          <w:color w:val="000000"/>
          <w:sz w:val="32"/>
          <w:szCs w:val="32"/>
        </w:rPr>
        <w:t>的排查、治理</w:t>
      </w:r>
      <w:r>
        <w:rPr>
          <w:rStyle w:val="7"/>
          <w:rFonts w:hint="eastAsia" w:ascii="仿宋_GB2312" w:hAnsi="黑体" w:cs="黑体"/>
          <w:snapToGrid w:val="0"/>
          <w:color w:val="000000"/>
          <w:sz w:val="32"/>
          <w:szCs w:val="32"/>
        </w:rPr>
        <w:t>实行联防联控</w:t>
      </w:r>
      <w:r>
        <w:rPr>
          <w:rStyle w:val="7"/>
          <w:rFonts w:hint="eastAsia" w:ascii="仿宋_GB2312" w:hAnsi="仿宋"/>
          <w:snapToGrid w:val="0"/>
          <w:color w:val="000000"/>
          <w:sz w:val="32"/>
          <w:szCs w:val="32"/>
        </w:rPr>
        <w:t>。</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黑体" w:hAnsi="黑体" w:eastAsia="黑体"/>
          <w:snapToGrid w:val="0"/>
          <w:color w:val="000000"/>
          <w:sz w:val="32"/>
          <w:szCs w:val="32"/>
        </w:rPr>
        <w:t>第十二条</w:t>
      </w:r>
      <w:r>
        <w:rPr>
          <w:rStyle w:val="7"/>
          <w:rFonts w:hint="eastAsia" w:ascii="仿宋_GB2312" w:hAnsi="黑体"/>
          <w:snapToGrid w:val="0"/>
          <w:color w:val="000000"/>
          <w:sz w:val="32"/>
          <w:szCs w:val="32"/>
        </w:rPr>
        <w:t xml:space="preserve"> </w:t>
      </w:r>
      <w:r>
        <w:rPr>
          <w:rStyle w:val="7"/>
          <w:rFonts w:hint="eastAsia" w:ascii="仿宋_GB2312" w:hAnsi="仿宋"/>
          <w:snapToGrid w:val="0"/>
          <w:color w:val="000000"/>
          <w:sz w:val="32"/>
          <w:szCs w:val="32"/>
        </w:rPr>
        <w:t>净月潭风景区内的建设项目应当符合净月潭风景区规划，并与景观相协调，不得污染环境、妨碍游览。</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在净月潭风景区内进行建设活动的建设单位、施工单位，应当制定污染防治和水土保持方案，保护好周围景物、景观、水体、林草植被、野生动物资源和地形地貌。确需临时改变的，应当在建设完成后恢复原状。</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Fonts w:hint="eastAsia" w:ascii="黑体" w:hAnsi="黑体" w:eastAsia="黑体"/>
          <w:snapToGrid w:val="0"/>
          <w:color w:val="000000"/>
          <w:sz w:val="32"/>
          <w:szCs w:val="32"/>
        </w:rPr>
        <w:t>第十三条</w:t>
      </w:r>
      <w:r>
        <w:rPr>
          <w:rFonts w:hint="eastAsia" w:ascii="仿宋_GB2312" w:hAnsi="黑体"/>
          <w:snapToGrid w:val="0"/>
          <w:color w:val="000000"/>
          <w:sz w:val="32"/>
          <w:szCs w:val="32"/>
        </w:rPr>
        <w:t xml:space="preserve"> </w:t>
      </w:r>
      <w:r>
        <w:rPr>
          <w:rStyle w:val="7"/>
          <w:rFonts w:hint="eastAsia" w:ascii="仿宋_GB2312" w:hAnsi="仿宋"/>
          <w:snapToGrid w:val="0"/>
          <w:color w:val="000000"/>
          <w:sz w:val="32"/>
          <w:szCs w:val="32"/>
        </w:rPr>
        <w:t>禁止违反净月潭风景区规划，在净月潭风景区内建设宾馆、培训中心、疗（休）养院、养老院、度假山庄、会所、住宅以及与生态环境保护无关的建筑物、构筑物。</w:t>
      </w:r>
    </w:p>
    <w:p>
      <w:pPr>
        <w:pStyle w:val="6"/>
        <w:widowControl w:val="0"/>
        <w:spacing w:before="0" w:beforeAutospacing="0" w:after="0" w:afterAutospacing="0"/>
        <w:ind w:firstLine="640" w:firstLineChars="200"/>
        <w:jc w:val="both"/>
        <w:rPr>
          <w:rStyle w:val="7"/>
          <w:rFonts w:ascii="仿宋_GB2312" w:hAnsi="黑体" w:cs="黑体"/>
          <w:snapToGrid w:val="0"/>
          <w:color w:val="000000"/>
          <w:sz w:val="32"/>
          <w:szCs w:val="32"/>
        </w:rPr>
      </w:pPr>
      <w:r>
        <w:rPr>
          <w:rStyle w:val="7"/>
          <w:rFonts w:hint="eastAsia" w:ascii="仿宋_GB2312" w:hAnsi="黑体" w:cs="黑体"/>
          <w:snapToGrid w:val="0"/>
          <w:color w:val="000000"/>
          <w:sz w:val="32"/>
          <w:szCs w:val="32"/>
        </w:rPr>
        <w:t>已经建成的建筑物、构筑物</w:t>
      </w:r>
      <w:r>
        <w:rPr>
          <w:rStyle w:val="7"/>
          <w:rFonts w:hint="eastAsia" w:ascii="仿宋_GB2312" w:hAnsi="仿宋"/>
          <w:snapToGrid w:val="0"/>
          <w:color w:val="000000"/>
          <w:sz w:val="32"/>
          <w:szCs w:val="32"/>
        </w:rPr>
        <w:t>不符合净月潭风景区规划</w:t>
      </w:r>
      <w:r>
        <w:rPr>
          <w:rStyle w:val="7"/>
          <w:rFonts w:hint="eastAsia" w:ascii="仿宋_GB2312" w:hAnsi="黑体" w:cs="黑体"/>
          <w:snapToGrid w:val="0"/>
          <w:color w:val="000000"/>
          <w:sz w:val="32"/>
          <w:szCs w:val="32"/>
        </w:rPr>
        <w:t>的</w:t>
      </w:r>
      <w:r>
        <w:rPr>
          <w:rStyle w:val="7"/>
          <w:rFonts w:hint="eastAsia" w:ascii="仿宋_GB2312" w:hAnsi="仿宋"/>
          <w:snapToGrid w:val="0"/>
          <w:color w:val="000000"/>
          <w:sz w:val="32"/>
          <w:szCs w:val="32"/>
        </w:rPr>
        <w:t>，依法限期拆除或者</w:t>
      </w:r>
      <w:r>
        <w:rPr>
          <w:rFonts w:hint="eastAsia" w:ascii="仿宋_GB2312" w:hAnsi="仿宋"/>
          <w:color w:val="000000"/>
          <w:sz w:val="32"/>
          <w:szCs w:val="32"/>
        </w:rPr>
        <w:t>逐步</w:t>
      </w:r>
      <w:r>
        <w:rPr>
          <w:rStyle w:val="7"/>
          <w:rFonts w:hint="eastAsia" w:ascii="仿宋_GB2312" w:hAnsi="仿宋"/>
          <w:snapToGrid w:val="0"/>
          <w:color w:val="000000"/>
          <w:sz w:val="32"/>
          <w:szCs w:val="32"/>
        </w:rPr>
        <w:t>迁出;应当依法补偿的，先予补偿。</w:t>
      </w:r>
    </w:p>
    <w:p>
      <w:pPr>
        <w:pStyle w:val="6"/>
        <w:widowControl w:val="0"/>
        <w:spacing w:before="0" w:beforeAutospacing="0" w:after="0" w:afterAutospacing="0"/>
        <w:ind w:firstLine="640" w:firstLineChars="200"/>
        <w:jc w:val="both"/>
        <w:rPr>
          <w:rStyle w:val="7"/>
          <w:rFonts w:ascii="仿宋_GB2312"/>
          <w:snapToGrid w:val="0"/>
          <w:color w:val="000000"/>
          <w:sz w:val="32"/>
          <w:szCs w:val="32"/>
        </w:rPr>
      </w:pPr>
      <w:r>
        <w:rPr>
          <w:rStyle w:val="7"/>
          <w:rFonts w:hint="eastAsia" w:ascii="黑体" w:hAnsi="黑体" w:eastAsia="黑体"/>
          <w:snapToGrid w:val="0"/>
          <w:color w:val="000000"/>
          <w:sz w:val="32"/>
          <w:szCs w:val="32"/>
        </w:rPr>
        <w:t>第十四条</w:t>
      </w:r>
      <w:r>
        <w:rPr>
          <w:rStyle w:val="7"/>
          <w:rFonts w:hint="eastAsia" w:ascii="仿宋_GB2312" w:hAnsi="黑体"/>
          <w:snapToGrid w:val="0"/>
          <w:color w:val="000000"/>
          <w:sz w:val="32"/>
          <w:szCs w:val="32"/>
        </w:rPr>
        <w:t xml:space="preserve"> </w:t>
      </w:r>
      <w:r>
        <w:rPr>
          <w:rStyle w:val="7"/>
          <w:rFonts w:hint="eastAsia" w:ascii="仿宋_GB2312" w:hAnsi="仿宋"/>
          <w:snapToGrid w:val="0"/>
          <w:color w:val="000000"/>
          <w:sz w:val="32"/>
          <w:szCs w:val="32"/>
        </w:rPr>
        <w:t>净月区管委会应当根据净月潭风景区规划，</w:t>
      </w:r>
      <w:r>
        <w:rPr>
          <w:rStyle w:val="7"/>
          <w:rFonts w:hint="eastAsia" w:ascii="仿宋_GB2312" w:hAnsi="黑体" w:cs="黑体"/>
          <w:snapToGrid w:val="0"/>
          <w:color w:val="000000"/>
          <w:sz w:val="32"/>
          <w:szCs w:val="32"/>
        </w:rPr>
        <w:t>合理</w:t>
      </w:r>
      <w:r>
        <w:rPr>
          <w:rStyle w:val="7"/>
          <w:rFonts w:hint="eastAsia" w:ascii="仿宋_GB2312" w:hAnsi="仿宋"/>
          <w:snapToGrid w:val="0"/>
          <w:color w:val="000000"/>
          <w:sz w:val="32"/>
          <w:szCs w:val="32"/>
        </w:rPr>
        <w:t>利用净月潭风景区资源，</w:t>
      </w:r>
      <w:r>
        <w:rPr>
          <w:rStyle w:val="7"/>
          <w:rFonts w:hint="eastAsia" w:ascii="仿宋_GB2312" w:hAnsi="黑体"/>
          <w:snapToGrid w:val="0"/>
          <w:color w:val="000000"/>
          <w:sz w:val="32"/>
          <w:szCs w:val="32"/>
        </w:rPr>
        <w:t>开发冰雪、休闲、运动等旅游</w:t>
      </w:r>
      <w:r>
        <w:rPr>
          <w:rStyle w:val="7"/>
          <w:rFonts w:hint="eastAsia" w:ascii="仿宋_GB2312" w:hAnsi="黑体" w:cs="黑体"/>
          <w:snapToGrid w:val="0"/>
          <w:color w:val="000000"/>
          <w:sz w:val="32"/>
          <w:szCs w:val="32"/>
        </w:rPr>
        <w:t>和体育</w:t>
      </w:r>
      <w:r>
        <w:rPr>
          <w:rStyle w:val="7"/>
          <w:rFonts w:hint="eastAsia" w:ascii="仿宋_GB2312" w:hAnsi="黑体"/>
          <w:snapToGrid w:val="0"/>
          <w:color w:val="000000"/>
          <w:sz w:val="32"/>
          <w:szCs w:val="32"/>
        </w:rPr>
        <w:t>项目，</w:t>
      </w:r>
      <w:r>
        <w:rPr>
          <w:rStyle w:val="7"/>
          <w:rFonts w:hint="eastAsia" w:ascii="仿宋_GB2312" w:hAnsi="仿宋"/>
          <w:snapToGrid w:val="0"/>
          <w:color w:val="000000"/>
          <w:sz w:val="32"/>
          <w:szCs w:val="32"/>
        </w:rPr>
        <w:t>建设和改造环潭路、木栈道、堤坝等基础设施，并定期进行检查和维护。</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Fonts w:hint="eastAsia" w:ascii="仿宋_GB2312" w:hAnsi="仿宋"/>
          <w:color w:val="000000"/>
          <w:sz w:val="32"/>
          <w:szCs w:val="32"/>
        </w:rPr>
        <w:t>净月区管委会应当在净月潭风景区内设置风景区标志</w:t>
      </w:r>
      <w:r>
        <w:rPr>
          <w:rFonts w:hint="eastAsia" w:ascii="仿宋_GB2312" w:hAnsi="黑体" w:cs="黑体"/>
          <w:color w:val="000000"/>
          <w:sz w:val="32"/>
          <w:szCs w:val="32"/>
        </w:rPr>
        <w:t>和</w:t>
      </w:r>
      <w:r>
        <w:rPr>
          <w:rFonts w:hint="eastAsia" w:ascii="仿宋_GB2312" w:hAnsi="仿宋"/>
          <w:color w:val="000000"/>
          <w:sz w:val="32"/>
          <w:szCs w:val="32"/>
        </w:rPr>
        <w:t>路标</w:t>
      </w:r>
      <w:r>
        <w:rPr>
          <w:rFonts w:hint="eastAsia" w:ascii="仿宋_GB2312" w:hAnsi="黑体" w:cs="黑体"/>
          <w:color w:val="000000"/>
          <w:sz w:val="32"/>
          <w:szCs w:val="32"/>
        </w:rPr>
        <w:t>、</w:t>
      </w:r>
      <w:r>
        <w:rPr>
          <w:rFonts w:hint="eastAsia" w:ascii="仿宋_GB2312" w:hAnsi="仿宋"/>
          <w:color w:val="000000"/>
          <w:sz w:val="32"/>
          <w:szCs w:val="32"/>
        </w:rPr>
        <w:t>安全警示等</w:t>
      </w:r>
      <w:r>
        <w:rPr>
          <w:rFonts w:hint="eastAsia" w:ascii="仿宋_GB2312" w:hAnsi="黑体" w:cs="黑体"/>
          <w:color w:val="000000"/>
          <w:sz w:val="32"/>
          <w:szCs w:val="32"/>
        </w:rPr>
        <w:t>标牌</w:t>
      </w:r>
      <w:r>
        <w:rPr>
          <w:rFonts w:hint="eastAsia" w:ascii="仿宋_GB2312" w:hAnsi="仿宋"/>
          <w:color w:val="000000"/>
          <w:sz w:val="32"/>
          <w:szCs w:val="32"/>
        </w:rPr>
        <w:t>。</w:t>
      </w:r>
    </w:p>
    <w:p>
      <w:pPr>
        <w:pStyle w:val="6"/>
        <w:widowControl w:val="0"/>
        <w:spacing w:before="0" w:beforeAutospacing="0" w:after="0" w:afterAutospacing="0"/>
        <w:ind w:firstLine="640" w:firstLineChars="200"/>
        <w:jc w:val="both"/>
        <w:rPr>
          <w:rStyle w:val="7"/>
          <w:rFonts w:ascii="仿宋_GB2312" w:hAnsi="黑体"/>
          <w:snapToGrid w:val="0"/>
          <w:color w:val="000000"/>
          <w:sz w:val="32"/>
          <w:szCs w:val="32"/>
        </w:rPr>
      </w:pPr>
      <w:r>
        <w:rPr>
          <w:rStyle w:val="7"/>
          <w:rFonts w:hint="eastAsia" w:ascii="黑体" w:hAnsi="黑体" w:eastAsia="黑体"/>
          <w:snapToGrid w:val="0"/>
          <w:color w:val="000000"/>
          <w:sz w:val="32"/>
          <w:szCs w:val="32"/>
        </w:rPr>
        <w:t>第十五条</w:t>
      </w:r>
      <w:r>
        <w:rPr>
          <w:rStyle w:val="7"/>
          <w:rFonts w:hint="eastAsia" w:ascii="仿宋_GB2312" w:hAnsi="黑体"/>
          <w:snapToGrid w:val="0"/>
          <w:color w:val="000000"/>
          <w:sz w:val="32"/>
          <w:szCs w:val="32"/>
        </w:rPr>
        <w:t xml:space="preserve"> 净月区管委会应当根据净月潭风景区规划，在净月潭风景区内为徒步健身者设置徒步路线</w:t>
      </w:r>
      <w:r>
        <w:rPr>
          <w:rStyle w:val="7"/>
          <w:rFonts w:hint="eastAsia" w:ascii="仿宋_GB2312" w:hAnsi="黑体" w:cs="黑体"/>
          <w:snapToGrid w:val="0"/>
          <w:color w:val="000000"/>
          <w:sz w:val="32"/>
          <w:szCs w:val="32"/>
        </w:rPr>
        <w:t>及</w:t>
      </w:r>
      <w:r>
        <w:rPr>
          <w:rStyle w:val="7"/>
          <w:rFonts w:hint="eastAsia" w:ascii="仿宋_GB2312" w:hAnsi="黑体"/>
          <w:snapToGrid w:val="0"/>
          <w:color w:val="000000"/>
          <w:sz w:val="32"/>
          <w:szCs w:val="32"/>
        </w:rPr>
        <w:t>相应设施，</w:t>
      </w:r>
      <w:r>
        <w:rPr>
          <w:rStyle w:val="7"/>
          <w:rFonts w:hint="eastAsia" w:ascii="仿宋_GB2312" w:hAnsi="黑体" w:cs="黑体"/>
          <w:snapToGrid w:val="0"/>
          <w:color w:val="000000"/>
          <w:sz w:val="32"/>
          <w:szCs w:val="32"/>
        </w:rPr>
        <w:t>并</w:t>
      </w:r>
      <w:r>
        <w:rPr>
          <w:rStyle w:val="7"/>
          <w:rFonts w:hint="eastAsia" w:ascii="仿宋_GB2312" w:hAnsi="黑体"/>
          <w:snapToGrid w:val="0"/>
          <w:color w:val="000000"/>
          <w:sz w:val="32"/>
          <w:szCs w:val="32"/>
        </w:rPr>
        <w:t>引导徒步健身者按照徒步路线行走，增强安全意识，遵守森林防火和环境保护等相关规定。</w:t>
      </w:r>
    </w:p>
    <w:p>
      <w:pPr>
        <w:ind w:firstLine="640" w:firstLineChars="200"/>
        <w:rPr>
          <w:rFonts w:ascii="仿宋_GB2312" w:eastAsia="仿宋_GB2312"/>
          <w:color w:val="000000"/>
          <w:sz w:val="32"/>
          <w:szCs w:val="32"/>
        </w:rPr>
      </w:pPr>
      <w:r>
        <w:rPr>
          <w:rStyle w:val="7"/>
          <w:rFonts w:hint="eastAsia" w:ascii="黑体" w:hAnsi="黑体" w:eastAsia="黑体"/>
          <w:snapToGrid w:val="0"/>
          <w:color w:val="000000"/>
          <w:sz w:val="32"/>
          <w:szCs w:val="32"/>
        </w:rPr>
        <w:t>第十六条</w:t>
      </w:r>
      <w:r>
        <w:rPr>
          <w:rStyle w:val="7"/>
          <w:rFonts w:hint="eastAsia" w:ascii="仿宋_GB2312" w:hAnsi="黑体"/>
          <w:snapToGrid w:val="0"/>
          <w:color w:val="000000"/>
          <w:sz w:val="32"/>
          <w:szCs w:val="32"/>
        </w:rPr>
        <w:t xml:space="preserve"> </w:t>
      </w:r>
      <w:r>
        <w:rPr>
          <w:rStyle w:val="7"/>
          <w:rFonts w:hint="eastAsia" w:ascii="仿宋_GB2312" w:hAnsi="仿宋" w:eastAsia="仿宋_GB2312"/>
          <w:snapToGrid w:val="0"/>
          <w:color w:val="000000"/>
          <w:sz w:val="32"/>
          <w:szCs w:val="32"/>
        </w:rPr>
        <w:t>净月区管委会应当</w:t>
      </w:r>
      <w:r>
        <w:rPr>
          <w:rStyle w:val="7"/>
          <w:rFonts w:hint="eastAsia" w:ascii="仿宋_GB2312" w:hAnsi="黑体" w:eastAsia="仿宋_GB2312" w:cs="黑体"/>
          <w:snapToGrid w:val="0"/>
          <w:color w:val="000000"/>
          <w:sz w:val="32"/>
          <w:szCs w:val="32"/>
        </w:rPr>
        <w:t>根据净月潭风景区总体规划和详细规划以及生态</w:t>
      </w:r>
      <w:r>
        <w:rPr>
          <w:rFonts w:hint="eastAsia" w:ascii="仿宋_GB2312" w:eastAsia="仿宋_GB2312"/>
          <w:color w:val="000000"/>
          <w:sz w:val="32"/>
          <w:szCs w:val="32"/>
        </w:rPr>
        <w:t>环境保护需要，建设机动车停车场。</w:t>
      </w:r>
    </w:p>
    <w:p>
      <w:pPr>
        <w:ind w:firstLine="640" w:firstLineChars="200"/>
        <w:rPr>
          <w:rFonts w:ascii="仿宋_GB2312" w:hAnsi="仿宋" w:eastAsia="仿宋_GB2312" w:cs="宋体"/>
          <w:bCs/>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黑体" w:cs="黑体"/>
          <w:color w:val="000000"/>
          <w:kern w:val="0"/>
          <w:sz w:val="32"/>
          <w:szCs w:val="32"/>
        </w:rPr>
        <w:t xml:space="preserve"> </w:t>
      </w:r>
      <w:r>
        <w:rPr>
          <w:rFonts w:hint="eastAsia" w:ascii="仿宋_GB2312" w:hAnsi="宋体" w:eastAsia="仿宋_GB2312" w:cs="宋体"/>
          <w:color w:val="000000"/>
          <w:kern w:val="0"/>
          <w:sz w:val="32"/>
          <w:szCs w:val="32"/>
        </w:rPr>
        <w:t>净月区管委会应当根据国家相关规定，有计划地实施退耕（村、企）还林、还湿、还草和</w:t>
      </w:r>
      <w:r>
        <w:rPr>
          <w:rFonts w:hint="eastAsia" w:ascii="仿宋_GB2312" w:eastAsia="仿宋_GB2312"/>
          <w:color w:val="000000"/>
          <w:sz w:val="32"/>
          <w:szCs w:val="32"/>
        </w:rPr>
        <w:t>矿山复绿、林相改造工程，</w:t>
      </w:r>
      <w:r>
        <w:rPr>
          <w:rFonts w:hint="eastAsia" w:ascii="仿宋_GB2312" w:hAnsi="宋体" w:eastAsia="仿宋_GB2312" w:cs="宋体"/>
          <w:color w:val="000000"/>
          <w:kern w:val="0"/>
          <w:sz w:val="32"/>
          <w:szCs w:val="32"/>
        </w:rPr>
        <w:t>提高森林、绿地覆盖率。</w:t>
      </w:r>
    </w:p>
    <w:p>
      <w:pPr>
        <w:ind w:firstLine="660"/>
        <w:rPr>
          <w:rFonts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黑体" w:cs="黑体"/>
          <w:color w:val="000000"/>
          <w:kern w:val="0"/>
          <w:sz w:val="32"/>
          <w:szCs w:val="32"/>
        </w:rPr>
        <w:t xml:space="preserve"> </w:t>
      </w:r>
      <w:r>
        <w:rPr>
          <w:rFonts w:hint="eastAsia" w:ascii="仿宋_GB2312" w:hAnsi="宋体" w:eastAsia="仿宋_GB2312" w:cs="宋体"/>
          <w:color w:val="000000"/>
          <w:kern w:val="0"/>
          <w:sz w:val="32"/>
          <w:szCs w:val="32"/>
        </w:rPr>
        <w:t>净月区管委会应当对净月潭风景区内林业有害生物和林木病虫害进行监测。发现林业有害生物危害和林木病虫害严重的，应当依法报告市林业主管部门，共同采取紧急防治措施，控制灾情。</w:t>
      </w:r>
    </w:p>
    <w:p>
      <w:pPr>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黑体" w:cs="黑体"/>
          <w:color w:val="000000"/>
          <w:kern w:val="0"/>
          <w:sz w:val="32"/>
          <w:szCs w:val="32"/>
        </w:rPr>
        <w:t xml:space="preserve"> </w:t>
      </w:r>
      <w:r>
        <w:rPr>
          <w:rFonts w:hint="eastAsia" w:ascii="仿宋_GB2312" w:hAnsi="仿宋_GB2312" w:eastAsia="仿宋_GB2312" w:cs="仿宋_GB2312"/>
          <w:color w:val="000000"/>
          <w:kern w:val="0"/>
          <w:sz w:val="32"/>
          <w:szCs w:val="32"/>
        </w:rPr>
        <w:t>净月潭</w:t>
      </w:r>
      <w:r>
        <w:rPr>
          <w:rFonts w:hint="eastAsia" w:ascii="仿宋_GB2312" w:hAnsi="宋体" w:eastAsia="仿宋_GB2312" w:cs="宋体"/>
          <w:color w:val="000000"/>
          <w:kern w:val="0"/>
          <w:sz w:val="32"/>
          <w:szCs w:val="32"/>
        </w:rPr>
        <w:t>风景区内实行全年森林防火。</w:t>
      </w:r>
      <w:r>
        <w:rPr>
          <w:rFonts w:hint="eastAsia" w:ascii="仿宋_GB2312" w:hAnsi="黑体" w:eastAsia="仿宋_GB2312" w:cs="黑体"/>
          <w:color w:val="000000"/>
          <w:kern w:val="0"/>
          <w:sz w:val="32"/>
          <w:szCs w:val="32"/>
        </w:rPr>
        <w:t>净月区管委会应当完善防火制度，落实防火责任制，组建火灾扑救队伍，配备必要的防火设施和设备，制定火灾事故应急预案，并组织演练。</w:t>
      </w:r>
    </w:p>
    <w:p>
      <w:pPr>
        <w:ind w:firstLine="640" w:firstLineChars="200"/>
        <w:rPr>
          <w:rFonts w:ascii="仿宋_GB2312" w:hAnsi="黑体" w:eastAsia="仿宋_GB2312" w:cs="黑体"/>
          <w:color w:val="000000"/>
          <w:kern w:val="0"/>
          <w:sz w:val="32"/>
          <w:szCs w:val="32"/>
        </w:rPr>
      </w:pPr>
      <w:r>
        <w:rPr>
          <w:rFonts w:hint="eastAsia" w:ascii="仿宋_GB2312" w:hAnsi="宋体" w:eastAsia="仿宋_GB2312" w:cs="宋体"/>
          <w:color w:val="000000"/>
          <w:kern w:val="0"/>
          <w:sz w:val="32"/>
          <w:szCs w:val="32"/>
        </w:rPr>
        <w:t>净月区管委会、二道区人民政府和双阳区人民政府应当</w:t>
      </w:r>
      <w:r>
        <w:rPr>
          <w:rFonts w:hint="eastAsia" w:ascii="仿宋_GB2312" w:hAnsi="黑体" w:eastAsia="仿宋_GB2312" w:cs="黑体"/>
          <w:color w:val="000000"/>
          <w:kern w:val="0"/>
          <w:sz w:val="32"/>
          <w:szCs w:val="32"/>
        </w:rPr>
        <w:t>共同建立毗邻林地的防火救灾机制</w:t>
      </w:r>
      <w:r>
        <w:rPr>
          <w:rFonts w:hint="eastAsia" w:ascii="仿宋_GB2312" w:hAnsi="宋体" w:eastAsia="仿宋_GB2312" w:cs="宋体"/>
          <w:color w:val="000000"/>
          <w:kern w:val="0"/>
          <w:sz w:val="32"/>
          <w:szCs w:val="32"/>
        </w:rPr>
        <w:t>，</w:t>
      </w:r>
      <w:r>
        <w:rPr>
          <w:rFonts w:hint="eastAsia" w:ascii="仿宋_GB2312" w:hAnsi="黑体" w:eastAsia="仿宋_GB2312" w:cs="黑体"/>
          <w:color w:val="000000"/>
          <w:kern w:val="0"/>
          <w:sz w:val="32"/>
          <w:szCs w:val="32"/>
        </w:rPr>
        <w:t>及时排查并消除各类火灾隐患。</w:t>
      </w:r>
    </w:p>
    <w:p>
      <w:pPr>
        <w:ind w:firstLine="640" w:firstLineChars="200"/>
        <w:rPr>
          <w:rFonts w:ascii="仿宋_GB2312" w:hAnsi="宋体" w:eastAsia="仿宋_GB2312" w:cs="宋体"/>
          <w:color w:val="000000"/>
          <w:kern w:val="0"/>
          <w:sz w:val="32"/>
          <w:szCs w:val="32"/>
        </w:rPr>
      </w:pPr>
      <w:r>
        <w:rPr>
          <w:rStyle w:val="7"/>
          <w:rFonts w:hint="eastAsia" w:ascii="仿宋_GB2312" w:hAnsi="仿宋_GB2312" w:eastAsia="仿宋_GB2312" w:cs="仿宋_GB2312"/>
          <w:snapToGrid w:val="0"/>
          <w:color w:val="000000"/>
          <w:sz w:val="32"/>
          <w:szCs w:val="32"/>
        </w:rPr>
        <w:t>净月潭</w:t>
      </w:r>
      <w:r>
        <w:rPr>
          <w:rFonts w:hint="eastAsia" w:ascii="仿宋_GB2312" w:eastAsia="仿宋_GB2312"/>
          <w:color w:val="000000"/>
          <w:sz w:val="32"/>
          <w:szCs w:val="32"/>
        </w:rPr>
        <w:t>风景区及毗邻林地范围内常驻单位和居民应当遵守净月潭风景区和毗邻林地森林防火规定，禁止携带火种进入林区。</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黑体" w:hAnsi="黑体" w:eastAsia="黑体"/>
          <w:snapToGrid w:val="0"/>
          <w:color w:val="000000"/>
          <w:sz w:val="32"/>
          <w:szCs w:val="32"/>
        </w:rPr>
        <w:t>第二十条</w:t>
      </w:r>
      <w:r>
        <w:rPr>
          <w:rStyle w:val="7"/>
          <w:rFonts w:hint="eastAsia" w:ascii="仿宋_GB2312" w:hAnsi="黑体"/>
          <w:snapToGrid w:val="0"/>
          <w:color w:val="000000"/>
          <w:sz w:val="32"/>
          <w:szCs w:val="32"/>
        </w:rPr>
        <w:t xml:space="preserve"> </w:t>
      </w:r>
      <w:r>
        <w:rPr>
          <w:rStyle w:val="7"/>
          <w:rFonts w:hint="eastAsia" w:ascii="仿宋_GB2312" w:hAnsi="仿宋"/>
          <w:snapToGrid w:val="0"/>
          <w:color w:val="000000"/>
          <w:sz w:val="32"/>
          <w:szCs w:val="32"/>
        </w:rPr>
        <w:t>净月区管委会应当保护和改善野生动物、珍贵植物的生存环境，促进生长繁衍，恢复与保持生态</w:t>
      </w:r>
      <w:r>
        <w:rPr>
          <w:rStyle w:val="7"/>
          <w:rFonts w:hint="eastAsia" w:ascii="仿宋_GB2312" w:hAnsi="黑体" w:cs="黑体"/>
          <w:snapToGrid w:val="0"/>
          <w:color w:val="000000"/>
          <w:sz w:val="32"/>
          <w:szCs w:val="32"/>
        </w:rPr>
        <w:t>稳定</w:t>
      </w:r>
      <w:r>
        <w:rPr>
          <w:rStyle w:val="7"/>
          <w:rFonts w:hint="eastAsia" w:ascii="仿宋_GB2312" w:hAnsi="仿宋"/>
          <w:snapToGrid w:val="0"/>
          <w:color w:val="000000"/>
          <w:sz w:val="32"/>
          <w:szCs w:val="32"/>
        </w:rPr>
        <w:t>性和生物多样性。</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未经检疫部门检疫合格的</w:t>
      </w:r>
      <w:r>
        <w:rPr>
          <w:rStyle w:val="7"/>
          <w:rFonts w:hint="eastAsia" w:ascii="仿宋_GB2312" w:hAnsi="黑体" w:cs="黑体"/>
          <w:snapToGrid w:val="0"/>
          <w:color w:val="000000"/>
          <w:sz w:val="32"/>
          <w:szCs w:val="32"/>
        </w:rPr>
        <w:t>动物、植物和应施检疫的植物产品</w:t>
      </w:r>
      <w:r>
        <w:rPr>
          <w:rStyle w:val="7"/>
          <w:rFonts w:hint="eastAsia" w:ascii="仿宋_GB2312" w:hAnsi="仿宋"/>
          <w:snapToGrid w:val="0"/>
          <w:color w:val="000000"/>
          <w:sz w:val="32"/>
          <w:szCs w:val="32"/>
        </w:rPr>
        <w:t>，不得进入净月潭风景区。</w:t>
      </w:r>
    </w:p>
    <w:p>
      <w:pPr>
        <w:pStyle w:val="6"/>
        <w:widowControl w:val="0"/>
        <w:spacing w:before="0" w:beforeAutospacing="0" w:after="0" w:afterAutospacing="0"/>
        <w:ind w:firstLine="660"/>
        <w:jc w:val="both"/>
        <w:rPr>
          <w:rStyle w:val="7"/>
          <w:rFonts w:ascii="仿宋_GB2312" w:hAnsi="仿宋"/>
          <w:snapToGrid w:val="0"/>
          <w:color w:val="000000"/>
          <w:sz w:val="32"/>
          <w:szCs w:val="32"/>
        </w:rPr>
      </w:pPr>
      <w:r>
        <w:rPr>
          <w:rFonts w:hint="eastAsia" w:ascii="黑体" w:hAnsi="黑体" w:eastAsia="黑体" w:cs="黑体"/>
          <w:snapToGrid w:val="0"/>
          <w:color w:val="000000"/>
          <w:sz w:val="32"/>
          <w:szCs w:val="32"/>
        </w:rPr>
        <w:t>第二十一条</w:t>
      </w:r>
      <w:r>
        <w:rPr>
          <w:rFonts w:hint="eastAsia" w:ascii="仿宋_GB2312" w:hAnsi="仿宋"/>
          <w:snapToGrid w:val="0"/>
          <w:color w:val="000000"/>
          <w:sz w:val="32"/>
          <w:szCs w:val="32"/>
        </w:rPr>
        <w:t xml:space="preserve"> </w:t>
      </w:r>
      <w:r>
        <w:rPr>
          <w:rStyle w:val="7"/>
          <w:rFonts w:hint="eastAsia" w:ascii="仿宋_GB2312" w:hAnsi="仿宋"/>
          <w:snapToGrid w:val="0"/>
          <w:color w:val="000000"/>
          <w:sz w:val="32"/>
          <w:szCs w:val="32"/>
        </w:rPr>
        <w:t>净月区管委会应当制定净月潭风景区内水体保护制度，</w:t>
      </w:r>
      <w:r>
        <w:rPr>
          <w:rStyle w:val="7"/>
          <w:rFonts w:hint="eastAsia" w:ascii="仿宋_GB2312" w:hAnsi="黑体" w:cs="黑体"/>
          <w:snapToGrid w:val="0"/>
          <w:color w:val="000000"/>
          <w:sz w:val="32"/>
          <w:szCs w:val="32"/>
        </w:rPr>
        <w:t>明确保护要求，落实保护责任。</w:t>
      </w:r>
      <w:r>
        <w:rPr>
          <w:rStyle w:val="7"/>
          <w:rFonts w:hint="eastAsia" w:ascii="仿宋_GB2312" w:hAnsi="仿宋"/>
          <w:snapToGrid w:val="0"/>
          <w:color w:val="000000"/>
          <w:sz w:val="32"/>
          <w:szCs w:val="32"/>
        </w:rPr>
        <w:t>在水环境安全、水生态修复与水资源保护方面采取措施，</w:t>
      </w:r>
      <w:r>
        <w:rPr>
          <w:rFonts w:hint="eastAsia" w:ascii="仿宋_GB2312" w:hAnsi="仿宋"/>
          <w:snapToGrid w:val="0"/>
          <w:color w:val="000000"/>
          <w:sz w:val="32"/>
          <w:szCs w:val="32"/>
        </w:rPr>
        <w:t>防治</w:t>
      </w:r>
      <w:r>
        <w:rPr>
          <w:rStyle w:val="7"/>
          <w:rFonts w:hint="eastAsia" w:ascii="仿宋_GB2312" w:hAnsi="仿宋"/>
          <w:snapToGrid w:val="0"/>
          <w:color w:val="000000"/>
          <w:sz w:val="32"/>
          <w:szCs w:val="32"/>
        </w:rPr>
        <w:t>水体污染。</w:t>
      </w:r>
      <w:r>
        <w:rPr>
          <w:rFonts w:hint="eastAsia" w:ascii="仿宋_GB2312" w:hAnsi="黑体" w:cs="黑体"/>
          <w:snapToGrid w:val="0"/>
          <w:color w:val="000000"/>
          <w:sz w:val="32"/>
          <w:szCs w:val="32"/>
        </w:rPr>
        <w:t>除按净月潭风景区规划的要求外，应当维护水体自然状态，不得改变。</w:t>
      </w:r>
    </w:p>
    <w:p>
      <w:pPr>
        <w:pStyle w:val="6"/>
        <w:widowControl w:val="0"/>
        <w:spacing w:before="0" w:beforeAutospacing="0" w:after="0" w:afterAutospacing="0"/>
        <w:ind w:firstLine="640" w:firstLineChars="200"/>
        <w:jc w:val="both"/>
        <w:rPr>
          <w:rFonts w:ascii="仿宋_GB2312" w:hAnsi="仿宋"/>
          <w:snapToGrid w:val="0"/>
          <w:color w:val="000000"/>
          <w:sz w:val="32"/>
          <w:szCs w:val="32"/>
        </w:rPr>
      </w:pPr>
      <w:r>
        <w:rPr>
          <w:rStyle w:val="7"/>
          <w:rFonts w:hint="eastAsia" w:ascii="黑体" w:hAnsi="黑体" w:eastAsia="黑体"/>
          <w:snapToGrid w:val="0"/>
          <w:color w:val="000000"/>
          <w:sz w:val="32"/>
          <w:szCs w:val="32"/>
        </w:rPr>
        <w:t>第二十二条</w:t>
      </w:r>
      <w:r>
        <w:rPr>
          <w:rStyle w:val="7"/>
          <w:rFonts w:hint="eastAsia" w:ascii="仿宋_GB2312" w:hAnsi="仿宋"/>
          <w:snapToGrid w:val="0"/>
          <w:color w:val="000000"/>
          <w:sz w:val="32"/>
          <w:szCs w:val="32"/>
        </w:rPr>
        <w:t xml:space="preserve"> 净月潭</w:t>
      </w:r>
      <w:r>
        <w:rPr>
          <w:rFonts w:hint="eastAsia" w:ascii="仿宋_GB2312" w:hAnsi="仿宋"/>
          <w:snapToGrid w:val="0"/>
          <w:color w:val="000000"/>
          <w:sz w:val="32"/>
          <w:szCs w:val="32"/>
        </w:rPr>
        <w:t>风景区内</w:t>
      </w:r>
      <w:r>
        <w:rPr>
          <w:rFonts w:hint="eastAsia" w:ascii="仿宋_GB2312" w:hAnsi="黑体" w:cs="黑体"/>
          <w:snapToGrid w:val="0"/>
          <w:color w:val="000000"/>
          <w:sz w:val="32"/>
          <w:szCs w:val="32"/>
        </w:rPr>
        <w:t>属于风景名胜资源</w:t>
      </w:r>
      <w:r>
        <w:rPr>
          <w:rFonts w:hint="eastAsia" w:ascii="仿宋_GB2312" w:hAnsi="仿宋"/>
          <w:snapToGrid w:val="0"/>
          <w:color w:val="000000"/>
          <w:sz w:val="32"/>
          <w:szCs w:val="32"/>
        </w:rPr>
        <w:t>的纪念性建筑、文物古迹、历史遗址、雕塑等人文景物、景观，应当严格保护。</w:t>
      </w:r>
    </w:p>
    <w:p>
      <w:pPr>
        <w:pStyle w:val="6"/>
        <w:widowControl w:val="0"/>
        <w:spacing w:before="0" w:beforeAutospacing="0" w:after="0" w:afterAutospacing="0"/>
        <w:ind w:firstLine="640" w:firstLineChars="200"/>
        <w:jc w:val="both"/>
        <w:rPr>
          <w:rFonts w:ascii="仿宋_GB2312" w:hAnsi="仿宋"/>
          <w:color w:val="000000"/>
          <w:sz w:val="32"/>
          <w:szCs w:val="32"/>
        </w:rPr>
      </w:pPr>
      <w:r>
        <w:rPr>
          <w:rStyle w:val="7"/>
          <w:rFonts w:hint="eastAsia" w:ascii="黑体" w:hAnsi="黑体" w:eastAsia="黑体"/>
          <w:snapToGrid w:val="0"/>
          <w:color w:val="000000"/>
          <w:sz w:val="32"/>
          <w:szCs w:val="32"/>
        </w:rPr>
        <w:t>第二十三条</w:t>
      </w:r>
      <w:r>
        <w:rPr>
          <w:rFonts w:hint="eastAsia" w:ascii="仿宋_GB2312" w:hAnsi="黑体"/>
          <w:snapToGrid w:val="0"/>
          <w:color w:val="000000"/>
          <w:sz w:val="32"/>
          <w:szCs w:val="32"/>
        </w:rPr>
        <w:t xml:space="preserve"> </w:t>
      </w:r>
      <w:r>
        <w:rPr>
          <w:rFonts w:hint="eastAsia" w:ascii="仿宋_GB2312" w:hAnsi="仿宋"/>
          <w:snapToGrid w:val="0"/>
          <w:color w:val="000000"/>
          <w:sz w:val="32"/>
          <w:szCs w:val="32"/>
        </w:rPr>
        <w:t>游客、徒步健身者和净月潭风景区内常驻单位工作人员、居民等应当遵守净月潭风景区管理规定，凭有效票（证）进入净月潭风景区</w:t>
      </w:r>
      <w:r>
        <w:rPr>
          <w:rFonts w:hint="eastAsia" w:ascii="仿宋_GB2312" w:hAnsi="黑体" w:cs="黑体"/>
          <w:snapToGrid w:val="0"/>
          <w:color w:val="000000"/>
          <w:sz w:val="32"/>
          <w:szCs w:val="32"/>
        </w:rPr>
        <w:t>封闭管理区域</w:t>
      </w:r>
      <w:r>
        <w:rPr>
          <w:rFonts w:hint="eastAsia" w:ascii="仿宋_GB2312" w:hAnsi="仿宋"/>
          <w:snapToGrid w:val="0"/>
          <w:color w:val="000000"/>
          <w:sz w:val="32"/>
          <w:szCs w:val="32"/>
        </w:rPr>
        <w:t>。</w:t>
      </w:r>
    </w:p>
    <w:p>
      <w:pPr>
        <w:ind w:firstLine="640" w:firstLineChars="200"/>
        <w:rPr>
          <w:rFonts w:ascii="仿宋_GB2312" w:eastAsia="仿宋_GB2312"/>
          <w:color w:val="000000"/>
          <w:sz w:val="32"/>
          <w:szCs w:val="32"/>
        </w:rPr>
      </w:pPr>
      <w:r>
        <w:rPr>
          <w:rStyle w:val="7"/>
          <w:rFonts w:hint="eastAsia" w:ascii="黑体" w:hAnsi="黑体" w:eastAsia="黑体"/>
          <w:snapToGrid w:val="0"/>
          <w:color w:val="000000"/>
          <w:sz w:val="32"/>
          <w:szCs w:val="32"/>
        </w:rPr>
        <w:t>第二十四条</w:t>
      </w:r>
      <w:r>
        <w:rPr>
          <w:rStyle w:val="7"/>
          <w:rFonts w:hint="eastAsia" w:ascii="仿宋_GB2312" w:hAnsi="黑体"/>
          <w:snapToGrid w:val="0"/>
          <w:color w:val="000000"/>
          <w:sz w:val="32"/>
          <w:szCs w:val="32"/>
        </w:rPr>
        <w:t xml:space="preserve"> </w:t>
      </w:r>
      <w:r>
        <w:rPr>
          <w:rStyle w:val="7"/>
          <w:rFonts w:hint="eastAsia" w:ascii="仿宋_GB2312" w:hAnsi="黑体" w:eastAsia="仿宋_GB2312"/>
          <w:snapToGrid w:val="0"/>
          <w:color w:val="000000"/>
          <w:sz w:val="32"/>
          <w:szCs w:val="32"/>
        </w:rPr>
        <w:t>除抢险、救灾</w:t>
      </w:r>
      <w:r>
        <w:rPr>
          <w:rStyle w:val="7"/>
          <w:rFonts w:hint="eastAsia" w:ascii="仿宋_GB2312" w:hAnsi="黑体" w:eastAsia="仿宋_GB2312" w:cs="黑体"/>
          <w:snapToGrid w:val="0"/>
          <w:color w:val="000000"/>
          <w:sz w:val="32"/>
          <w:szCs w:val="32"/>
        </w:rPr>
        <w:t>、救护和执法等车辆执行</w:t>
      </w:r>
      <w:r>
        <w:rPr>
          <w:rFonts w:hint="eastAsia" w:ascii="仿宋_GB2312" w:hAnsi="宋体" w:eastAsia="仿宋_GB2312" w:cs="宋体"/>
          <w:kern w:val="0"/>
          <w:sz w:val="32"/>
          <w:szCs w:val="32"/>
        </w:rPr>
        <w:t>任务</w:t>
      </w:r>
      <w:r>
        <w:rPr>
          <w:rStyle w:val="7"/>
          <w:rFonts w:hint="eastAsia" w:ascii="仿宋_GB2312" w:hAnsi="黑体" w:eastAsia="仿宋_GB2312"/>
          <w:snapToGrid w:val="0"/>
          <w:color w:val="000000"/>
          <w:sz w:val="32"/>
          <w:szCs w:val="32"/>
        </w:rPr>
        <w:t>外，</w:t>
      </w:r>
      <w:r>
        <w:rPr>
          <w:rFonts w:hint="eastAsia" w:ascii="仿宋_GB2312" w:eastAsia="仿宋_GB2312"/>
          <w:color w:val="000000"/>
          <w:sz w:val="32"/>
          <w:szCs w:val="32"/>
        </w:rPr>
        <w:t>禁止机动车、</w:t>
      </w:r>
      <w:r>
        <w:rPr>
          <w:rStyle w:val="7"/>
          <w:rFonts w:hint="eastAsia" w:ascii="仿宋_GB2312" w:hAnsi="仿宋" w:eastAsia="仿宋_GB2312"/>
          <w:snapToGrid w:val="0"/>
          <w:color w:val="000000"/>
          <w:sz w:val="32"/>
          <w:szCs w:val="32"/>
        </w:rPr>
        <w:t>畜力车</w:t>
      </w:r>
      <w:r>
        <w:rPr>
          <w:rFonts w:hint="eastAsia" w:ascii="仿宋_GB2312" w:eastAsia="仿宋_GB2312"/>
          <w:color w:val="000000"/>
          <w:sz w:val="32"/>
          <w:szCs w:val="32"/>
        </w:rPr>
        <w:t>进入净月潭风景区封闭管理区域。</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净月潭风景区封闭管理区域内常驻单位和居民的机动车、畜力车，应当经净月区管委会批准并办理通行证后，方可凭证进入，</w:t>
      </w:r>
      <w:r>
        <w:rPr>
          <w:rFonts w:hint="eastAsia" w:ascii="仿宋_GB2312" w:hAnsi="黑体" w:eastAsia="仿宋_GB2312" w:cs="黑体"/>
          <w:color w:val="000000"/>
          <w:sz w:val="32"/>
          <w:szCs w:val="32"/>
        </w:rPr>
        <w:t>并按指定路线行驶，</w:t>
      </w:r>
      <w:r>
        <w:rPr>
          <w:rFonts w:hint="eastAsia" w:ascii="仿宋_GB2312" w:eastAsia="仿宋_GB2312"/>
          <w:color w:val="000000"/>
          <w:sz w:val="32"/>
          <w:szCs w:val="32"/>
        </w:rPr>
        <w:t>不得在净月潭风景区封闭管理区域内</w:t>
      </w:r>
      <w:r>
        <w:rPr>
          <w:rFonts w:hint="eastAsia" w:ascii="仿宋_GB2312" w:hAnsi="黑体" w:eastAsia="仿宋_GB2312" w:cs="黑体"/>
          <w:color w:val="000000"/>
          <w:sz w:val="32"/>
          <w:szCs w:val="32"/>
        </w:rPr>
        <w:t>进行</w:t>
      </w:r>
      <w:r>
        <w:rPr>
          <w:rFonts w:hint="eastAsia" w:ascii="仿宋_GB2312" w:eastAsia="仿宋_GB2312"/>
          <w:color w:val="000000"/>
          <w:sz w:val="32"/>
          <w:szCs w:val="32"/>
        </w:rPr>
        <w:t>载客游览、观光等活动。</w:t>
      </w:r>
    </w:p>
    <w:p>
      <w:pPr>
        <w:pStyle w:val="6"/>
        <w:widowControl w:val="0"/>
        <w:spacing w:before="0" w:beforeAutospacing="0" w:after="0" w:afterAutospacing="0"/>
        <w:ind w:firstLine="640" w:firstLineChars="200"/>
        <w:jc w:val="both"/>
        <w:rPr>
          <w:rFonts w:ascii="仿宋_GB2312"/>
          <w:color w:val="000000"/>
          <w:sz w:val="32"/>
          <w:szCs w:val="32"/>
        </w:rPr>
      </w:pPr>
      <w:r>
        <w:rPr>
          <w:rFonts w:hint="eastAsia" w:ascii="仿宋_GB2312" w:hAnsi="仿宋"/>
          <w:color w:val="000000"/>
          <w:sz w:val="32"/>
          <w:szCs w:val="32"/>
        </w:rPr>
        <w:t>净月潭风景区</w:t>
      </w:r>
      <w:r>
        <w:rPr>
          <w:rFonts w:hint="eastAsia" w:ascii="仿宋_GB2312"/>
          <w:color w:val="000000"/>
          <w:sz w:val="32"/>
          <w:szCs w:val="32"/>
        </w:rPr>
        <w:t>封闭管理区域</w:t>
      </w:r>
      <w:r>
        <w:rPr>
          <w:rFonts w:hint="eastAsia" w:ascii="仿宋_GB2312" w:hAnsi="仿宋"/>
          <w:color w:val="000000"/>
          <w:sz w:val="32"/>
          <w:szCs w:val="32"/>
        </w:rPr>
        <w:t>内，</w:t>
      </w:r>
      <w:r>
        <w:rPr>
          <w:rStyle w:val="7"/>
          <w:rFonts w:hint="eastAsia" w:ascii="仿宋_GB2312" w:hAnsi="仿宋"/>
          <w:snapToGrid w:val="0"/>
          <w:color w:val="000000"/>
          <w:sz w:val="32"/>
          <w:szCs w:val="32"/>
        </w:rPr>
        <w:t>应当使用清洁能源的观光游览车辆。</w:t>
      </w:r>
    </w:p>
    <w:p>
      <w:pPr>
        <w:pStyle w:val="6"/>
        <w:spacing w:before="0" w:beforeAutospacing="0" w:after="0" w:afterAutospacing="0"/>
        <w:ind w:firstLine="640" w:firstLineChars="200"/>
        <w:jc w:val="both"/>
        <w:rPr>
          <w:rStyle w:val="7"/>
          <w:rFonts w:ascii="仿宋_GB2312" w:hAnsi="黑体"/>
          <w:snapToGrid w:val="0"/>
          <w:color w:val="000000"/>
          <w:sz w:val="32"/>
          <w:szCs w:val="32"/>
        </w:rPr>
      </w:pPr>
      <w:r>
        <w:rPr>
          <w:rStyle w:val="7"/>
          <w:rFonts w:hint="eastAsia" w:ascii="黑体" w:hAnsi="黑体" w:eastAsia="黑体"/>
          <w:snapToGrid w:val="0"/>
          <w:color w:val="000000"/>
          <w:sz w:val="32"/>
          <w:szCs w:val="32"/>
        </w:rPr>
        <w:t>第二十五条</w:t>
      </w:r>
      <w:r>
        <w:rPr>
          <w:rStyle w:val="7"/>
          <w:rFonts w:hint="eastAsia" w:ascii="仿宋_GB2312" w:hAnsi="黑体"/>
          <w:snapToGrid w:val="0"/>
          <w:color w:val="000000"/>
          <w:sz w:val="32"/>
          <w:szCs w:val="32"/>
        </w:rPr>
        <w:t xml:space="preserve"> </w:t>
      </w:r>
      <w:r>
        <w:rPr>
          <w:rStyle w:val="7"/>
          <w:rFonts w:hint="eastAsia" w:ascii="仿宋_GB2312" w:hAnsi="黑体" w:cs="黑体"/>
          <w:snapToGrid w:val="0"/>
          <w:color w:val="000000"/>
          <w:sz w:val="32"/>
          <w:szCs w:val="32"/>
        </w:rPr>
        <w:t>净月潭风景区内禁止设置户外商业广告。</w:t>
      </w:r>
    </w:p>
    <w:p>
      <w:pPr>
        <w:pStyle w:val="6"/>
        <w:spacing w:before="0" w:beforeAutospacing="0" w:after="0" w:afterAutospacing="0"/>
        <w:ind w:firstLine="640" w:firstLineChars="200"/>
        <w:jc w:val="both"/>
        <w:rPr>
          <w:rFonts w:ascii="仿宋_GB2312" w:hAnsi="仿宋"/>
          <w:snapToGrid w:val="0"/>
          <w:color w:val="000000"/>
          <w:sz w:val="32"/>
          <w:szCs w:val="32"/>
        </w:rPr>
      </w:pPr>
      <w:r>
        <w:rPr>
          <w:rStyle w:val="7"/>
          <w:rFonts w:hint="eastAsia" w:ascii="仿宋_GB2312" w:hAnsi="仿宋"/>
          <w:snapToGrid w:val="0"/>
          <w:color w:val="000000"/>
          <w:sz w:val="32"/>
          <w:szCs w:val="32"/>
        </w:rPr>
        <w:t>在净月潭风景区内举办大型</w:t>
      </w:r>
      <w:r>
        <w:rPr>
          <w:rStyle w:val="7"/>
          <w:rFonts w:hint="eastAsia" w:ascii="仿宋_GB2312" w:hAnsi="黑体" w:cs="黑体"/>
          <w:snapToGrid w:val="0"/>
          <w:color w:val="000000"/>
          <w:sz w:val="32"/>
          <w:szCs w:val="32"/>
        </w:rPr>
        <w:t>赛事或者</w:t>
      </w:r>
      <w:r>
        <w:rPr>
          <w:rStyle w:val="7"/>
          <w:rFonts w:hint="eastAsia" w:ascii="仿宋_GB2312" w:hAnsi="仿宋"/>
          <w:snapToGrid w:val="0"/>
          <w:color w:val="000000"/>
          <w:sz w:val="32"/>
          <w:szCs w:val="32"/>
        </w:rPr>
        <w:t>游乐等活动</w:t>
      </w:r>
      <w:r>
        <w:rPr>
          <w:rStyle w:val="7"/>
          <w:rFonts w:hint="eastAsia" w:ascii="仿宋_GB2312" w:hAnsi="黑体" w:cs="黑体"/>
          <w:snapToGrid w:val="0"/>
          <w:color w:val="000000"/>
          <w:sz w:val="32"/>
          <w:szCs w:val="32"/>
        </w:rPr>
        <w:t>的</w:t>
      </w:r>
      <w:r>
        <w:rPr>
          <w:rStyle w:val="7"/>
          <w:rFonts w:hint="eastAsia" w:ascii="仿宋_GB2312" w:hAnsi="仿宋"/>
          <w:snapToGrid w:val="0"/>
          <w:color w:val="000000"/>
          <w:sz w:val="32"/>
          <w:szCs w:val="32"/>
        </w:rPr>
        <w:t>单位</w:t>
      </w:r>
      <w:r>
        <w:rPr>
          <w:rStyle w:val="7"/>
          <w:rFonts w:hint="eastAsia" w:ascii="仿宋_GB2312" w:hAnsi="黑体" w:cs="黑体"/>
          <w:snapToGrid w:val="0"/>
          <w:color w:val="000000"/>
          <w:sz w:val="32"/>
          <w:szCs w:val="32"/>
        </w:rPr>
        <w:t>和组织，</w:t>
      </w:r>
      <w:r>
        <w:rPr>
          <w:rFonts w:hint="eastAsia" w:ascii="仿宋_GB2312" w:hAnsi="仿宋"/>
          <w:color w:val="000000"/>
          <w:sz w:val="32"/>
          <w:szCs w:val="32"/>
        </w:rPr>
        <w:t>应当向净月区管委会提出申请，经审核后，依照有关法律、法规的规定报有关主管部门批准。</w:t>
      </w:r>
    </w:p>
    <w:p>
      <w:pPr>
        <w:pStyle w:val="6"/>
        <w:widowControl w:val="0"/>
        <w:spacing w:before="0" w:beforeAutospacing="0" w:after="0" w:afterAutospacing="0"/>
        <w:ind w:firstLine="640" w:firstLineChars="200"/>
        <w:jc w:val="both"/>
        <w:rPr>
          <w:rFonts w:ascii="仿宋_GB2312" w:hAnsi="仿宋"/>
          <w:snapToGrid w:val="0"/>
          <w:color w:val="000000"/>
          <w:sz w:val="32"/>
          <w:szCs w:val="32"/>
        </w:rPr>
      </w:pPr>
      <w:r>
        <w:rPr>
          <w:rStyle w:val="7"/>
          <w:rFonts w:hint="eastAsia" w:ascii="仿宋_GB2312" w:hAnsi="仿宋"/>
          <w:snapToGrid w:val="0"/>
          <w:color w:val="000000"/>
          <w:sz w:val="32"/>
          <w:szCs w:val="32"/>
        </w:rPr>
        <w:t>在净月潭风景区内</w:t>
      </w:r>
      <w:r>
        <w:rPr>
          <w:rFonts w:hint="eastAsia" w:ascii="仿宋_GB2312" w:hAnsi="仿宋"/>
          <w:color w:val="000000"/>
          <w:sz w:val="32"/>
          <w:szCs w:val="32"/>
        </w:rPr>
        <w:t>从事旅游服务经营活动的单位和个人，</w:t>
      </w:r>
      <w:r>
        <w:rPr>
          <w:rStyle w:val="7"/>
          <w:rFonts w:hint="eastAsia" w:ascii="仿宋_GB2312" w:hAnsi="仿宋"/>
          <w:snapToGrid w:val="0"/>
          <w:color w:val="000000"/>
          <w:sz w:val="32"/>
          <w:szCs w:val="32"/>
        </w:rPr>
        <w:t>应当办理相关手续，</w:t>
      </w:r>
      <w:r>
        <w:rPr>
          <w:rFonts w:hint="eastAsia" w:ascii="仿宋_GB2312" w:hAnsi="仿宋"/>
          <w:color w:val="000000"/>
          <w:sz w:val="32"/>
          <w:szCs w:val="32"/>
        </w:rPr>
        <w:t>在净月区管委会指定的地点和划定的范围内，依法经营。</w:t>
      </w:r>
    </w:p>
    <w:p>
      <w:pPr>
        <w:pStyle w:val="6"/>
        <w:widowControl w:val="0"/>
        <w:spacing w:before="0" w:beforeAutospacing="0" w:after="0" w:afterAutospacing="0"/>
        <w:ind w:firstLine="640" w:firstLineChars="200"/>
        <w:jc w:val="both"/>
        <w:rPr>
          <w:rStyle w:val="7"/>
          <w:rFonts w:ascii="仿宋_GB2312" w:hAnsi="黑体"/>
          <w:snapToGrid w:val="0"/>
          <w:color w:val="000000"/>
          <w:sz w:val="32"/>
          <w:szCs w:val="32"/>
        </w:rPr>
      </w:pPr>
      <w:r>
        <w:rPr>
          <w:rStyle w:val="7"/>
          <w:rFonts w:hint="eastAsia" w:ascii="黑体" w:hAnsi="黑体" w:eastAsia="黑体" w:cs="仿宋_GB2312"/>
          <w:snapToGrid w:val="0"/>
          <w:color w:val="000000"/>
          <w:sz w:val="32"/>
          <w:szCs w:val="32"/>
        </w:rPr>
        <w:t>第二十六条</w:t>
      </w:r>
      <w:r>
        <w:rPr>
          <w:rStyle w:val="7"/>
          <w:rFonts w:hint="eastAsia" w:ascii="仿宋_GB2312" w:hAnsi="黑体" w:cs="仿宋_GB2312"/>
          <w:snapToGrid w:val="0"/>
          <w:color w:val="000000"/>
          <w:sz w:val="32"/>
          <w:szCs w:val="32"/>
        </w:rPr>
        <w:t xml:space="preserve"> </w:t>
      </w:r>
      <w:r>
        <w:rPr>
          <w:rStyle w:val="7"/>
          <w:rFonts w:hint="eastAsia" w:ascii="仿宋_GB2312" w:hAnsi="仿宋_GB2312" w:cs="仿宋_GB2312"/>
          <w:snapToGrid w:val="0"/>
          <w:color w:val="000000"/>
          <w:sz w:val="32"/>
          <w:szCs w:val="32"/>
        </w:rPr>
        <w:t>净月区管委会应当确定净月潭风景区的环境容量，制定游客、徒步健身者流量控制方案，并向社会公布。</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Fonts w:hint="eastAsia" w:ascii="黑体" w:hAnsi="黑体" w:eastAsia="黑体"/>
          <w:snapToGrid w:val="0"/>
          <w:color w:val="000000"/>
          <w:sz w:val="32"/>
          <w:szCs w:val="32"/>
        </w:rPr>
        <w:t>第二十七条</w:t>
      </w:r>
      <w:r>
        <w:rPr>
          <w:rFonts w:hint="eastAsia" w:ascii="仿宋_GB2312" w:hAnsi="黑体"/>
          <w:snapToGrid w:val="0"/>
          <w:color w:val="000000"/>
          <w:sz w:val="32"/>
          <w:szCs w:val="32"/>
        </w:rPr>
        <w:t xml:space="preserve"> </w:t>
      </w:r>
      <w:r>
        <w:rPr>
          <w:rFonts w:hint="eastAsia" w:ascii="仿宋_GB2312" w:hAnsi="仿宋_GB2312" w:cs="仿宋_GB2312"/>
          <w:sz w:val="32"/>
          <w:szCs w:val="32"/>
        </w:rPr>
        <w:t>禁止在净月潭风景区内进行开山、采石</w:t>
      </w:r>
      <w:r>
        <w:rPr>
          <w:rFonts w:hint="eastAsia" w:ascii="仿宋_GB2312" w:hAnsi="黑体" w:cs="仿宋_GB2312"/>
          <w:sz w:val="32"/>
          <w:szCs w:val="32"/>
        </w:rPr>
        <w:t>、开矿</w:t>
      </w:r>
      <w:r>
        <w:rPr>
          <w:rFonts w:hint="eastAsia" w:ascii="仿宋_GB2312" w:hAnsi="仿宋_GB2312" w:cs="仿宋_GB2312"/>
          <w:sz w:val="32"/>
          <w:szCs w:val="32"/>
        </w:rPr>
        <w:t>等破坏景观、植被和地形地貌的活动；禁止修建储存爆炸性、易燃性、放射性、毒害性、腐蚀性物品的设施。</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黑体" w:hAnsi="黑体" w:eastAsia="黑体"/>
          <w:snapToGrid w:val="0"/>
          <w:color w:val="000000"/>
          <w:sz w:val="32"/>
          <w:szCs w:val="32"/>
        </w:rPr>
        <w:t>第二十八条</w:t>
      </w:r>
      <w:r>
        <w:rPr>
          <w:rStyle w:val="7"/>
          <w:rFonts w:hint="eastAsia" w:ascii="仿宋_GB2312" w:hAnsi="黑体"/>
          <w:snapToGrid w:val="0"/>
          <w:color w:val="000000"/>
          <w:sz w:val="32"/>
          <w:szCs w:val="32"/>
        </w:rPr>
        <w:t xml:space="preserve"> </w:t>
      </w:r>
      <w:r>
        <w:rPr>
          <w:rStyle w:val="7"/>
          <w:rFonts w:hint="eastAsia" w:ascii="仿宋_GB2312" w:hAnsi="仿宋"/>
          <w:snapToGrid w:val="0"/>
          <w:color w:val="000000"/>
          <w:sz w:val="32"/>
          <w:szCs w:val="32"/>
        </w:rPr>
        <w:t>在净月潭风景区内禁止下列行为：</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（一）乱扔瓜果皮核、食品包装物和其他杂物，随地便溺；</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（二）</w:t>
      </w:r>
      <w:r>
        <w:rPr>
          <w:rFonts w:hint="eastAsia" w:ascii="仿宋_GB2312" w:hAnsi="仿宋"/>
          <w:snapToGrid w:val="0"/>
          <w:color w:val="000000"/>
          <w:sz w:val="32"/>
          <w:szCs w:val="32"/>
        </w:rPr>
        <w:t>在景物或者设施上刻划、涂污，张贴物品；</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（三）携带犬类等可能威胁他人人身安全的动物；</w:t>
      </w:r>
    </w:p>
    <w:p>
      <w:pPr>
        <w:pStyle w:val="6"/>
        <w:widowControl w:val="0"/>
        <w:spacing w:before="0" w:beforeAutospacing="0" w:after="0" w:afterAutospacing="0"/>
        <w:ind w:firstLine="640" w:firstLineChars="200"/>
        <w:jc w:val="both"/>
        <w:rPr>
          <w:rFonts w:ascii="仿宋_GB2312" w:hAnsi="仿宋"/>
          <w:snapToGrid w:val="0"/>
          <w:color w:val="000000"/>
          <w:sz w:val="32"/>
          <w:szCs w:val="32"/>
        </w:rPr>
      </w:pPr>
      <w:r>
        <w:rPr>
          <w:rStyle w:val="7"/>
          <w:rFonts w:hint="eastAsia" w:ascii="仿宋_GB2312" w:hAnsi="仿宋"/>
          <w:snapToGrid w:val="0"/>
          <w:color w:val="000000"/>
          <w:sz w:val="32"/>
          <w:szCs w:val="32"/>
        </w:rPr>
        <w:t>（四）</w:t>
      </w:r>
      <w:r>
        <w:rPr>
          <w:rFonts w:hint="eastAsia" w:ascii="仿宋_GB2312" w:hAnsi="黑体" w:cs="黑体"/>
          <w:snapToGrid w:val="0"/>
          <w:color w:val="000000"/>
          <w:sz w:val="32"/>
          <w:szCs w:val="32"/>
        </w:rPr>
        <w:t>在非指定区域</w:t>
      </w:r>
      <w:r>
        <w:rPr>
          <w:rFonts w:hint="eastAsia" w:ascii="仿宋_GB2312" w:hAnsi="仿宋"/>
          <w:snapToGrid w:val="0"/>
          <w:color w:val="000000"/>
          <w:sz w:val="32"/>
          <w:szCs w:val="32"/>
        </w:rPr>
        <w:t>露营过夜；</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（五）</w:t>
      </w:r>
      <w:r>
        <w:rPr>
          <w:rFonts w:hint="eastAsia" w:ascii="仿宋_GB2312" w:hAnsi="仿宋"/>
          <w:snapToGrid w:val="0"/>
          <w:color w:val="000000"/>
          <w:sz w:val="32"/>
          <w:szCs w:val="32"/>
        </w:rPr>
        <w:t>在非指定区域骑自行车，使用轮滑、滑板；</w:t>
      </w:r>
    </w:p>
    <w:p>
      <w:pPr>
        <w:pStyle w:val="6"/>
        <w:widowControl w:val="0"/>
        <w:spacing w:before="0" w:beforeAutospacing="0" w:after="0" w:afterAutospacing="0"/>
        <w:ind w:firstLine="640" w:firstLineChars="200"/>
        <w:jc w:val="both"/>
        <w:rPr>
          <w:rFonts w:ascii="仿宋_GB2312" w:hAnsi="仿宋"/>
          <w:snapToGrid w:val="0"/>
          <w:color w:val="000000"/>
          <w:sz w:val="32"/>
          <w:szCs w:val="32"/>
        </w:rPr>
      </w:pPr>
      <w:r>
        <w:rPr>
          <w:rFonts w:hint="eastAsia" w:ascii="仿宋_GB2312" w:hAnsi="仿宋"/>
          <w:snapToGrid w:val="0"/>
          <w:color w:val="000000"/>
          <w:sz w:val="32"/>
          <w:szCs w:val="32"/>
        </w:rPr>
        <w:t>（六）进入非开放区域；</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Fonts w:hint="eastAsia" w:ascii="仿宋_GB2312" w:hAnsi="仿宋"/>
          <w:snapToGrid w:val="0"/>
          <w:color w:val="000000"/>
          <w:sz w:val="32"/>
          <w:szCs w:val="32"/>
        </w:rPr>
        <w:t>（七）</w:t>
      </w:r>
      <w:r>
        <w:rPr>
          <w:rFonts w:hint="eastAsia" w:ascii="仿宋_GB2312" w:hAnsi="黑体" w:cs="黑体"/>
          <w:snapToGrid w:val="0"/>
          <w:color w:val="000000"/>
          <w:sz w:val="32"/>
          <w:szCs w:val="32"/>
        </w:rPr>
        <w:t>超标准排放噪声；</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（八）</w:t>
      </w:r>
      <w:r>
        <w:rPr>
          <w:rFonts w:hint="eastAsia" w:ascii="仿宋_GB2312" w:hAnsi="仿宋"/>
          <w:snapToGrid w:val="0"/>
          <w:color w:val="000000"/>
          <w:sz w:val="32"/>
          <w:szCs w:val="32"/>
        </w:rPr>
        <w:t>破坏围栏、雪雕、冰雕，擅自进入冰面；</w:t>
      </w:r>
    </w:p>
    <w:p>
      <w:pPr>
        <w:pStyle w:val="6"/>
        <w:widowControl w:val="0"/>
        <w:spacing w:before="0" w:beforeAutospacing="0" w:after="0" w:afterAutospacing="0"/>
        <w:ind w:firstLine="640" w:firstLineChars="200"/>
        <w:jc w:val="both"/>
        <w:rPr>
          <w:rFonts w:ascii="仿宋_GB2312" w:hAnsi="仿宋"/>
          <w:snapToGrid w:val="0"/>
          <w:color w:val="000000"/>
          <w:sz w:val="32"/>
          <w:szCs w:val="32"/>
        </w:rPr>
      </w:pPr>
      <w:r>
        <w:rPr>
          <w:rFonts w:hint="eastAsia" w:ascii="仿宋_GB2312" w:hAnsi="仿宋"/>
          <w:snapToGrid w:val="0"/>
          <w:color w:val="000000"/>
          <w:sz w:val="32"/>
          <w:szCs w:val="32"/>
        </w:rPr>
        <w:t>（九）</w:t>
      </w:r>
      <w:r>
        <w:rPr>
          <w:rStyle w:val="7"/>
          <w:rFonts w:hint="eastAsia" w:ascii="仿宋_GB2312" w:hAnsi="仿宋"/>
          <w:snapToGrid w:val="0"/>
          <w:color w:val="000000"/>
          <w:sz w:val="32"/>
          <w:szCs w:val="32"/>
        </w:rPr>
        <w:t>野浴、垂钓或者破坏</w:t>
      </w:r>
      <w:r>
        <w:rPr>
          <w:rFonts w:hint="eastAsia" w:ascii="仿宋_GB2312" w:hAnsi="仿宋"/>
          <w:snapToGrid w:val="0"/>
          <w:color w:val="000000"/>
          <w:sz w:val="32"/>
          <w:szCs w:val="32"/>
        </w:rPr>
        <w:t>水生植物，</w:t>
      </w:r>
      <w:r>
        <w:rPr>
          <w:rStyle w:val="7"/>
          <w:rFonts w:hint="eastAsia" w:ascii="仿宋_GB2312" w:hAnsi="仿宋"/>
          <w:snapToGrid w:val="0"/>
          <w:color w:val="000000"/>
          <w:sz w:val="32"/>
          <w:szCs w:val="32"/>
        </w:rPr>
        <w:t>跨越护栏涉水、取水；</w:t>
      </w:r>
    </w:p>
    <w:p>
      <w:pPr>
        <w:pStyle w:val="6"/>
        <w:widowControl w:val="0"/>
        <w:spacing w:before="0" w:beforeAutospacing="0" w:after="0" w:afterAutospacing="0"/>
        <w:ind w:firstLine="640" w:firstLineChars="200"/>
        <w:jc w:val="both"/>
        <w:rPr>
          <w:rStyle w:val="7"/>
          <w:rFonts w:ascii="仿宋_GB2312" w:hAnsi="仿宋"/>
          <w:snapToGrid w:val="0"/>
          <w:color w:val="000000"/>
          <w:sz w:val="32"/>
          <w:szCs w:val="32"/>
        </w:rPr>
      </w:pPr>
      <w:r>
        <w:rPr>
          <w:rStyle w:val="7"/>
          <w:rFonts w:hint="eastAsia" w:ascii="仿宋_GB2312" w:hAnsi="仿宋"/>
          <w:snapToGrid w:val="0"/>
          <w:color w:val="000000"/>
          <w:sz w:val="32"/>
          <w:szCs w:val="32"/>
        </w:rPr>
        <w:t>（十）</w:t>
      </w:r>
      <w:r>
        <w:rPr>
          <w:rFonts w:hint="eastAsia" w:ascii="仿宋_GB2312" w:hAnsi="仿宋"/>
          <w:snapToGrid w:val="0"/>
          <w:color w:val="000000"/>
          <w:sz w:val="32"/>
          <w:szCs w:val="32"/>
        </w:rPr>
        <w:t>向水域内排放污水、倾倒垃圾；</w:t>
      </w:r>
    </w:p>
    <w:p>
      <w:pPr>
        <w:pStyle w:val="6"/>
        <w:widowControl w:val="0"/>
        <w:numPr>
          <w:ilvl w:val="0"/>
          <w:numId w:val="1"/>
        </w:numPr>
        <w:spacing w:before="0" w:beforeAutospacing="0" w:after="0" w:afterAutospacing="0"/>
        <w:ind w:firstLine="640" w:firstLineChars="200"/>
        <w:jc w:val="both"/>
        <w:rPr>
          <w:rFonts w:ascii="仿宋_GB2312" w:hAnsi="黑体" w:cs="黑体"/>
          <w:snapToGrid w:val="0"/>
          <w:color w:val="000000"/>
          <w:sz w:val="32"/>
          <w:szCs w:val="32"/>
        </w:rPr>
      </w:pPr>
      <w:r>
        <w:rPr>
          <w:rStyle w:val="7"/>
          <w:rFonts w:hint="eastAsia" w:ascii="仿宋_GB2312" w:hAnsi="仿宋"/>
          <w:snapToGrid w:val="0"/>
          <w:color w:val="000000"/>
          <w:sz w:val="32"/>
          <w:szCs w:val="32"/>
        </w:rPr>
        <w:t>取土，采摘果实、</w:t>
      </w:r>
      <w:r>
        <w:rPr>
          <w:rFonts w:hint="eastAsia" w:ascii="仿宋_GB2312" w:hAnsi="仿宋_GB2312" w:cs="仿宋_GB2312"/>
          <w:bCs/>
          <w:sz w:val="32"/>
          <w:szCs w:val="32"/>
        </w:rPr>
        <w:t>采药</w:t>
      </w:r>
      <w:r>
        <w:rPr>
          <w:rStyle w:val="7"/>
          <w:rFonts w:hint="eastAsia" w:ascii="仿宋_GB2312" w:hAnsi="仿宋"/>
          <w:snapToGrid w:val="0"/>
          <w:color w:val="000000"/>
          <w:sz w:val="32"/>
          <w:szCs w:val="32"/>
        </w:rPr>
        <w:t>；</w:t>
      </w:r>
    </w:p>
    <w:p>
      <w:pPr>
        <w:pStyle w:val="6"/>
        <w:widowControl w:val="0"/>
        <w:numPr>
          <w:ilvl w:val="0"/>
          <w:numId w:val="1"/>
        </w:numPr>
        <w:spacing w:before="0" w:beforeAutospacing="0" w:after="0" w:afterAutospacing="0"/>
        <w:ind w:firstLine="640" w:firstLineChars="200"/>
        <w:jc w:val="both"/>
        <w:rPr>
          <w:rFonts w:ascii="仿宋_GB2312" w:hAnsi="黑体" w:cs="黑体"/>
          <w:snapToGrid w:val="0"/>
          <w:color w:val="000000"/>
          <w:sz w:val="32"/>
          <w:szCs w:val="32"/>
        </w:rPr>
      </w:pPr>
      <w:r>
        <w:rPr>
          <w:rStyle w:val="7"/>
          <w:rFonts w:hint="eastAsia" w:ascii="仿宋_GB2312" w:hAnsi="仿宋"/>
          <w:snapToGrid w:val="0"/>
          <w:color w:val="000000"/>
          <w:sz w:val="32"/>
          <w:szCs w:val="32"/>
        </w:rPr>
        <w:t>攀爬、折损树木以及在树木上栓挂物品；</w:t>
      </w:r>
    </w:p>
    <w:p>
      <w:pPr>
        <w:pStyle w:val="6"/>
        <w:widowControl w:val="0"/>
        <w:spacing w:before="0" w:beforeAutospacing="0" w:after="0" w:afterAutospacing="0"/>
        <w:ind w:firstLine="640" w:firstLineChars="200"/>
        <w:jc w:val="both"/>
        <w:rPr>
          <w:rFonts w:ascii="仿宋_GB2312" w:hAnsi="仿宋"/>
          <w:snapToGrid w:val="0"/>
          <w:color w:val="000000"/>
          <w:sz w:val="32"/>
          <w:szCs w:val="32"/>
        </w:rPr>
      </w:pPr>
      <w:r>
        <w:rPr>
          <w:rFonts w:hint="eastAsia" w:ascii="仿宋_GB2312" w:hAnsi="仿宋"/>
          <w:snapToGrid w:val="0"/>
          <w:color w:val="000000"/>
          <w:sz w:val="32"/>
          <w:szCs w:val="32"/>
        </w:rPr>
        <w:t>（十三）</w:t>
      </w:r>
      <w:r>
        <w:rPr>
          <w:rStyle w:val="7"/>
          <w:rFonts w:hint="eastAsia" w:ascii="仿宋_GB2312" w:hAnsi="仿宋"/>
          <w:snapToGrid w:val="0"/>
          <w:color w:val="000000"/>
          <w:sz w:val="32"/>
          <w:szCs w:val="32"/>
        </w:rPr>
        <w:t>携带火种，吸烟、野炊、烧纸钱、烧荒、燃放烟花爆竹；</w:t>
      </w:r>
    </w:p>
    <w:p>
      <w:pPr>
        <w:pStyle w:val="6"/>
        <w:widowControl w:val="0"/>
        <w:spacing w:before="0" w:beforeAutospacing="0" w:after="0" w:afterAutospacing="0"/>
        <w:ind w:firstLine="640" w:firstLineChars="200"/>
        <w:jc w:val="both"/>
        <w:rPr>
          <w:rFonts w:ascii="仿宋_GB2312" w:hAnsi="仿宋"/>
          <w:snapToGrid w:val="0"/>
          <w:color w:val="000000"/>
          <w:sz w:val="32"/>
          <w:szCs w:val="32"/>
        </w:rPr>
      </w:pPr>
      <w:r>
        <w:rPr>
          <w:rFonts w:hint="eastAsia" w:ascii="仿宋_GB2312" w:hAnsi="仿宋"/>
          <w:snapToGrid w:val="0"/>
          <w:color w:val="000000"/>
          <w:sz w:val="32"/>
          <w:szCs w:val="32"/>
        </w:rPr>
        <w:t>（十四）</w:t>
      </w:r>
      <w:r>
        <w:rPr>
          <w:rFonts w:hint="eastAsia" w:ascii="仿宋_GB2312" w:hAnsi="仿宋_GB2312" w:cs="仿宋_GB2312"/>
          <w:bCs/>
          <w:sz w:val="32"/>
          <w:szCs w:val="32"/>
        </w:rPr>
        <w:t>开垦</w:t>
      </w:r>
      <w:r>
        <w:rPr>
          <w:rFonts w:hint="eastAsia" w:ascii="仿宋_GB2312" w:hAnsi="黑体" w:cs="黑体"/>
          <w:snapToGrid w:val="0"/>
          <w:color w:val="000000"/>
          <w:sz w:val="32"/>
          <w:szCs w:val="32"/>
        </w:rPr>
        <w:t>、圈占林地、修坟立碑；</w:t>
      </w:r>
    </w:p>
    <w:p>
      <w:pPr>
        <w:pStyle w:val="6"/>
        <w:widowControl w:val="0"/>
        <w:spacing w:before="0" w:beforeAutospacing="0" w:after="0" w:afterAutospacing="0"/>
        <w:ind w:firstLine="640" w:firstLineChars="200"/>
        <w:jc w:val="both"/>
        <w:rPr>
          <w:rFonts w:ascii="仿宋_GB2312" w:hAnsi="仿宋"/>
          <w:snapToGrid w:val="0"/>
          <w:color w:val="000000"/>
          <w:sz w:val="32"/>
          <w:szCs w:val="32"/>
        </w:rPr>
      </w:pPr>
      <w:r>
        <w:rPr>
          <w:rFonts w:hint="eastAsia" w:ascii="仿宋_GB2312" w:hAnsi="仿宋"/>
          <w:snapToGrid w:val="0"/>
          <w:color w:val="000000"/>
          <w:sz w:val="32"/>
          <w:szCs w:val="32"/>
        </w:rPr>
        <w:t>（十五）</w:t>
      </w:r>
      <w:r>
        <w:rPr>
          <w:rFonts w:hint="eastAsia" w:ascii="仿宋_GB2312" w:hAnsi="黑体" w:cs="仿宋_GB2312"/>
          <w:sz w:val="32"/>
          <w:szCs w:val="32"/>
        </w:rPr>
        <w:t>砍伐、放牧、狩猎、捕捞、挖沙</w:t>
      </w:r>
      <w:r>
        <w:rPr>
          <w:rFonts w:hint="eastAsia" w:ascii="仿宋_GB2312" w:hAnsi="仿宋"/>
          <w:snapToGrid w:val="0"/>
          <w:color w:val="000000"/>
          <w:sz w:val="32"/>
          <w:szCs w:val="32"/>
        </w:rPr>
        <w:t>；</w:t>
      </w:r>
    </w:p>
    <w:p>
      <w:pPr>
        <w:pStyle w:val="6"/>
        <w:widowControl w:val="0"/>
        <w:spacing w:before="0" w:beforeAutospacing="0" w:after="0" w:afterAutospacing="0"/>
        <w:ind w:firstLine="640" w:firstLineChars="200"/>
        <w:jc w:val="both"/>
        <w:rPr>
          <w:rFonts w:ascii="仿宋_GB2312" w:hAnsi="仿宋"/>
          <w:snapToGrid w:val="0"/>
          <w:color w:val="000000"/>
          <w:sz w:val="32"/>
          <w:szCs w:val="32"/>
        </w:rPr>
      </w:pPr>
      <w:r>
        <w:rPr>
          <w:rStyle w:val="7"/>
          <w:rFonts w:hint="eastAsia" w:ascii="仿宋_GB2312" w:hAnsi="仿宋"/>
          <w:snapToGrid w:val="0"/>
          <w:color w:val="000000"/>
          <w:sz w:val="32"/>
          <w:szCs w:val="32"/>
        </w:rPr>
        <w:t>（十六）其他破坏净月潭风景区环境、设施，影响净月潭风景区秩序的行为。</w:t>
      </w:r>
    </w:p>
    <w:p>
      <w:pPr>
        <w:ind w:firstLine="640" w:firstLineChars="200"/>
        <w:rPr>
          <w:rFonts w:ascii="仿宋_GB2312" w:eastAsia="仿宋_GB2312"/>
          <w:color w:val="000000"/>
          <w:sz w:val="32"/>
          <w:szCs w:val="32"/>
        </w:rPr>
      </w:pPr>
      <w:r>
        <w:rPr>
          <w:rFonts w:hint="eastAsia" w:ascii="黑体" w:hAnsi="黑体" w:eastAsia="黑体" w:cs="黑体"/>
          <w:color w:val="000000"/>
          <w:sz w:val="32"/>
          <w:szCs w:val="32"/>
        </w:rPr>
        <w:t>第二十九条</w:t>
      </w:r>
      <w:r>
        <w:rPr>
          <w:rFonts w:hint="eastAsia" w:ascii="仿宋_GB2312" w:hAnsi="黑体" w:cs="黑体"/>
          <w:color w:val="000000"/>
          <w:sz w:val="32"/>
          <w:szCs w:val="32"/>
        </w:rPr>
        <w:t xml:space="preserve"> </w:t>
      </w:r>
      <w:r>
        <w:rPr>
          <w:rFonts w:hint="eastAsia" w:ascii="仿宋_GB2312" w:eastAsia="仿宋_GB2312"/>
          <w:color w:val="000000"/>
          <w:sz w:val="32"/>
          <w:szCs w:val="32"/>
        </w:rPr>
        <w:t>净月区管委会应当采取有效措施，监督常驻单位做好下列环境卫生工作：</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（一）污水处理达标排放；</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（二）垃圾及时清运、处置；</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（三）酒店、宾馆等安装使用油烟净化设备；</w:t>
      </w:r>
    </w:p>
    <w:p>
      <w:pPr>
        <w:ind w:firstLine="645"/>
        <w:rPr>
          <w:rFonts w:ascii="仿宋_GB2312" w:eastAsia="仿宋_GB2312"/>
          <w:color w:val="000000"/>
          <w:sz w:val="32"/>
          <w:szCs w:val="32"/>
        </w:rPr>
      </w:pPr>
      <w:r>
        <w:rPr>
          <w:rFonts w:hint="eastAsia" w:ascii="仿宋_GB2312" w:eastAsia="仿宋_GB2312"/>
          <w:color w:val="000000"/>
          <w:sz w:val="32"/>
          <w:szCs w:val="32"/>
        </w:rPr>
        <w:t>（四）空调、锅炉、油烟净化设备以及其他机电设备采取降噪、隔噪措施；</w:t>
      </w:r>
    </w:p>
    <w:p>
      <w:pPr>
        <w:ind w:firstLine="645"/>
        <w:rPr>
          <w:rFonts w:ascii="仿宋_GB2312" w:eastAsia="仿宋_GB2312"/>
          <w:color w:val="000000"/>
          <w:sz w:val="32"/>
          <w:szCs w:val="32"/>
        </w:rPr>
      </w:pPr>
      <w:r>
        <w:rPr>
          <w:rFonts w:hint="eastAsia" w:ascii="仿宋_GB2312" w:eastAsia="仿宋_GB2312"/>
          <w:color w:val="000000"/>
          <w:sz w:val="32"/>
          <w:szCs w:val="32"/>
        </w:rPr>
        <w:t>（五）其他环境卫生工作。</w:t>
      </w:r>
    </w:p>
    <w:p>
      <w:pPr>
        <w:ind w:firstLine="645"/>
        <w:rPr>
          <w:rStyle w:val="7"/>
          <w:rFonts w:ascii="仿宋_GB2312" w:hAnsi="仿宋" w:eastAsia="仿宋_GB2312"/>
          <w:snapToGrid w:val="0"/>
          <w:color w:val="000000"/>
          <w:sz w:val="32"/>
          <w:szCs w:val="32"/>
        </w:rPr>
      </w:pPr>
      <w:r>
        <w:rPr>
          <w:rFonts w:hint="eastAsia" w:ascii="黑体" w:hAnsi="黑体" w:eastAsia="黑体" w:cs="黑体"/>
          <w:color w:val="000000"/>
          <w:sz w:val="32"/>
          <w:szCs w:val="32"/>
        </w:rPr>
        <w:t>第三十条</w:t>
      </w:r>
      <w:r>
        <w:rPr>
          <w:rFonts w:hint="eastAsia" w:ascii="仿宋_GB2312" w:hAnsi="黑体" w:cs="黑体"/>
          <w:color w:val="000000"/>
          <w:sz w:val="32"/>
          <w:szCs w:val="32"/>
        </w:rPr>
        <w:t xml:space="preserve"> </w:t>
      </w:r>
      <w:r>
        <w:rPr>
          <w:rFonts w:hint="eastAsia" w:ascii="仿宋_GB2312" w:eastAsia="仿宋_GB2312"/>
          <w:color w:val="000000"/>
          <w:sz w:val="32"/>
          <w:szCs w:val="32"/>
        </w:rPr>
        <w:t>净月区管委会应当加强净月潭风景区保护管理信息化建设，对风景名胜资源实行动态监控，编制评估报告，建立公共服务平台，发布公共信息，受理咨询、投诉、举报等。</w:t>
      </w:r>
    </w:p>
    <w:p>
      <w:pPr>
        <w:pStyle w:val="6"/>
        <w:widowControl w:val="0"/>
        <w:spacing w:before="0" w:beforeAutospacing="0" w:after="0" w:afterAutospacing="0"/>
        <w:ind w:firstLine="627" w:firstLineChars="196"/>
        <w:jc w:val="both"/>
        <w:rPr>
          <w:rStyle w:val="7"/>
          <w:rFonts w:ascii="仿宋_GB2312" w:hAnsi="仿宋"/>
          <w:snapToGrid w:val="0"/>
          <w:color w:val="000000"/>
          <w:sz w:val="32"/>
          <w:szCs w:val="32"/>
        </w:rPr>
      </w:pPr>
      <w:r>
        <w:rPr>
          <w:rStyle w:val="7"/>
          <w:rFonts w:hint="eastAsia" w:ascii="黑体" w:hAnsi="黑体" w:eastAsia="黑体"/>
          <w:snapToGrid w:val="0"/>
          <w:color w:val="000000"/>
          <w:sz w:val="32"/>
          <w:szCs w:val="32"/>
        </w:rPr>
        <w:t>第三十一条</w:t>
      </w:r>
      <w:r>
        <w:rPr>
          <w:rStyle w:val="7"/>
          <w:rFonts w:hint="eastAsia" w:ascii="仿宋_GB2312" w:hAnsi="黑体"/>
          <w:snapToGrid w:val="0"/>
          <w:color w:val="000000"/>
          <w:sz w:val="32"/>
          <w:szCs w:val="32"/>
        </w:rPr>
        <w:t xml:space="preserve"> </w:t>
      </w:r>
      <w:r>
        <w:rPr>
          <w:rStyle w:val="7"/>
          <w:rFonts w:hint="eastAsia" w:ascii="仿宋_GB2312" w:hAnsi="仿宋"/>
          <w:snapToGrid w:val="0"/>
          <w:color w:val="000000"/>
          <w:sz w:val="32"/>
          <w:szCs w:val="32"/>
        </w:rPr>
        <w:t>违反本条例第十</w:t>
      </w:r>
      <w:r>
        <w:rPr>
          <w:rStyle w:val="7"/>
          <w:rFonts w:hint="eastAsia" w:ascii="仿宋_GB2312" w:hAnsi="黑体" w:cs="黑体"/>
          <w:snapToGrid w:val="0"/>
          <w:color w:val="000000"/>
          <w:sz w:val="32"/>
          <w:szCs w:val="32"/>
        </w:rPr>
        <w:t>二</w:t>
      </w:r>
      <w:r>
        <w:rPr>
          <w:rStyle w:val="7"/>
          <w:rFonts w:hint="eastAsia" w:ascii="仿宋_GB2312" w:hAnsi="仿宋"/>
          <w:snapToGrid w:val="0"/>
          <w:color w:val="000000"/>
          <w:sz w:val="32"/>
          <w:szCs w:val="32"/>
        </w:rPr>
        <w:t>条第二款规定</w:t>
      </w:r>
      <w:r>
        <w:rPr>
          <w:rFonts w:hint="eastAsia" w:ascii="仿宋_GB2312" w:hAnsi="黑体" w:cs="黑体"/>
          <w:snapToGrid w:val="0"/>
          <w:color w:val="000000"/>
          <w:sz w:val="32"/>
          <w:szCs w:val="32"/>
        </w:rPr>
        <w:t>的</w:t>
      </w:r>
      <w:r>
        <w:rPr>
          <w:rStyle w:val="7"/>
          <w:rFonts w:hint="eastAsia" w:ascii="仿宋_GB2312" w:hAnsi="仿宋"/>
          <w:snapToGrid w:val="0"/>
          <w:color w:val="000000"/>
          <w:sz w:val="32"/>
          <w:szCs w:val="32"/>
        </w:rPr>
        <w:t>，</w:t>
      </w:r>
      <w:r>
        <w:rPr>
          <w:rStyle w:val="4"/>
          <w:rFonts w:hint="eastAsia" w:ascii="仿宋_GB2312" w:hAnsi="仿宋"/>
          <w:b w:val="0"/>
          <w:color w:val="000000"/>
          <w:sz w:val="32"/>
          <w:szCs w:val="32"/>
        </w:rPr>
        <w:t>由净月区管委会责令停止违法行为、限期恢复原状或者采取其他补救措施，</w:t>
      </w:r>
      <w:r>
        <w:rPr>
          <w:rStyle w:val="4"/>
          <w:rFonts w:hint="eastAsia" w:ascii="仿宋" w:hAnsi="仿宋"/>
          <w:b w:val="0"/>
          <w:color w:val="000000"/>
          <w:sz w:val="32"/>
          <w:szCs w:val="32"/>
        </w:rPr>
        <w:t>并处二万元以上十万元以下的罚款；逾期未恢复原状或者未采取有效措施的，由净月区管委会责令停止施工</w:t>
      </w:r>
      <w:r>
        <w:rPr>
          <w:rStyle w:val="4"/>
          <w:rFonts w:hint="eastAsia" w:ascii="仿宋_GB2312" w:hAnsi="黑体" w:cs="黑体"/>
          <w:b w:val="0"/>
          <w:color w:val="000000"/>
          <w:sz w:val="32"/>
          <w:szCs w:val="32"/>
        </w:rPr>
        <w:t>。</w:t>
      </w:r>
    </w:p>
    <w:p>
      <w:pPr>
        <w:widowControl/>
        <w:ind w:firstLine="640" w:firstLineChars="200"/>
        <w:rPr>
          <w:rFonts w:ascii="仿宋_GB2312" w:hAnsi="仿宋" w:eastAsia="仿宋_GB2312"/>
          <w:color w:val="000000"/>
          <w:sz w:val="32"/>
          <w:szCs w:val="32"/>
        </w:rPr>
      </w:pPr>
      <w:r>
        <w:rPr>
          <w:rStyle w:val="7"/>
          <w:rFonts w:hint="eastAsia" w:ascii="黑体" w:hAnsi="黑体" w:eastAsia="黑体"/>
          <w:snapToGrid w:val="0"/>
          <w:color w:val="000000"/>
          <w:sz w:val="32"/>
          <w:szCs w:val="32"/>
        </w:rPr>
        <w:t>第三十二条</w:t>
      </w:r>
      <w:r>
        <w:rPr>
          <w:rStyle w:val="7"/>
          <w:rFonts w:hint="eastAsia" w:ascii="仿宋_GB2312" w:hAnsi="黑体"/>
          <w:snapToGrid w:val="0"/>
          <w:color w:val="000000"/>
          <w:sz w:val="32"/>
          <w:szCs w:val="32"/>
        </w:rPr>
        <w:t xml:space="preserve"> </w:t>
      </w:r>
      <w:r>
        <w:rPr>
          <w:rStyle w:val="7"/>
          <w:rFonts w:hint="eastAsia" w:ascii="仿宋_GB2312" w:hAnsi="仿宋" w:eastAsia="仿宋_GB2312"/>
          <w:snapToGrid w:val="0"/>
          <w:color w:val="000000"/>
          <w:sz w:val="32"/>
          <w:szCs w:val="32"/>
        </w:rPr>
        <w:t>违反本条例第十</w:t>
      </w:r>
      <w:r>
        <w:rPr>
          <w:rStyle w:val="7"/>
          <w:rFonts w:hint="eastAsia" w:ascii="仿宋_GB2312" w:hAnsi="黑体" w:eastAsia="仿宋_GB2312" w:cs="黑体"/>
          <w:snapToGrid w:val="0"/>
          <w:color w:val="000000"/>
          <w:sz w:val="32"/>
          <w:szCs w:val="32"/>
        </w:rPr>
        <w:t>三</w:t>
      </w:r>
      <w:r>
        <w:rPr>
          <w:rStyle w:val="7"/>
          <w:rFonts w:hint="eastAsia" w:ascii="仿宋_GB2312" w:hAnsi="仿宋" w:eastAsia="仿宋_GB2312"/>
          <w:snapToGrid w:val="0"/>
          <w:color w:val="000000"/>
          <w:sz w:val="32"/>
          <w:szCs w:val="32"/>
        </w:rPr>
        <w:t>条第一款、第二十七条规定</w:t>
      </w:r>
      <w:r>
        <w:rPr>
          <w:rStyle w:val="7"/>
          <w:rFonts w:hint="eastAsia" w:ascii="仿宋_GB2312" w:hAnsi="黑体" w:eastAsia="仿宋_GB2312" w:cs="黑体"/>
          <w:snapToGrid w:val="0"/>
          <w:color w:val="000000"/>
          <w:sz w:val="32"/>
          <w:szCs w:val="32"/>
        </w:rPr>
        <w:t>的</w:t>
      </w:r>
      <w:r>
        <w:rPr>
          <w:rStyle w:val="7"/>
          <w:rFonts w:hint="eastAsia" w:ascii="仿宋_GB2312" w:hAnsi="仿宋" w:eastAsia="仿宋_GB2312"/>
          <w:snapToGrid w:val="0"/>
          <w:color w:val="000000"/>
          <w:sz w:val="32"/>
          <w:szCs w:val="32"/>
        </w:rPr>
        <w:t>，</w:t>
      </w:r>
      <w:r>
        <w:rPr>
          <w:rFonts w:hint="eastAsia" w:ascii="仿宋_GB2312" w:hAnsi="仿宋" w:eastAsia="仿宋_GB2312"/>
          <w:color w:val="000000"/>
          <w:sz w:val="32"/>
          <w:szCs w:val="32"/>
        </w:rPr>
        <w:t>由净月区管委会责令停止违法行为、恢复原状或者限期拆除，没收违法所得，并处五十万元以上一百万元以下的罚款。</w:t>
      </w:r>
    </w:p>
    <w:p>
      <w:pPr>
        <w:widowControl/>
        <w:ind w:firstLine="640" w:firstLineChars="200"/>
        <w:rPr>
          <w:rStyle w:val="7"/>
          <w:rFonts w:ascii="仿宋_GB2312" w:hAnsi="黑体" w:eastAsia="仿宋_GB2312"/>
          <w:snapToGrid w:val="0"/>
          <w:color w:val="000000"/>
          <w:sz w:val="32"/>
          <w:szCs w:val="32"/>
        </w:rPr>
      </w:pPr>
      <w:r>
        <w:rPr>
          <w:rFonts w:hint="eastAsia" w:ascii="黑体" w:hAnsi="黑体" w:eastAsia="黑体"/>
          <w:snapToGrid w:val="0"/>
          <w:color w:val="000000"/>
          <w:sz w:val="32"/>
          <w:szCs w:val="32"/>
        </w:rPr>
        <w:t>第三十三条</w:t>
      </w:r>
      <w:r>
        <w:rPr>
          <w:rFonts w:hint="eastAsia" w:ascii="仿宋_GB2312" w:hAnsi="黑体"/>
          <w:snapToGrid w:val="0"/>
          <w:color w:val="000000"/>
          <w:sz w:val="32"/>
          <w:szCs w:val="32"/>
        </w:rPr>
        <w:t xml:space="preserve"> </w:t>
      </w:r>
      <w:r>
        <w:rPr>
          <w:rFonts w:hint="eastAsia" w:ascii="仿宋_GB2312" w:hAnsi="仿宋" w:eastAsia="仿宋_GB2312"/>
          <w:snapToGrid w:val="0"/>
          <w:color w:val="000000"/>
          <w:sz w:val="32"/>
          <w:szCs w:val="32"/>
        </w:rPr>
        <w:t>违反本条例第二十三条规定，游客、徒步健身者未凭有效票（证）进入净月潭风景区的，</w:t>
      </w:r>
      <w:r>
        <w:rPr>
          <w:rStyle w:val="7"/>
          <w:rFonts w:hint="eastAsia" w:ascii="仿宋_GB2312" w:hAnsi="黑体" w:eastAsia="仿宋_GB2312"/>
          <w:snapToGrid w:val="0"/>
          <w:color w:val="000000"/>
          <w:sz w:val="32"/>
          <w:szCs w:val="32"/>
        </w:rPr>
        <w:t>由</w:t>
      </w:r>
      <w:r>
        <w:rPr>
          <w:rStyle w:val="7"/>
          <w:rFonts w:hint="eastAsia" w:ascii="仿宋_GB2312" w:hAnsi="仿宋" w:eastAsia="仿宋_GB2312"/>
          <w:snapToGrid w:val="0"/>
          <w:color w:val="000000"/>
          <w:sz w:val="32"/>
          <w:szCs w:val="32"/>
        </w:rPr>
        <w:t>净月区</w:t>
      </w:r>
      <w:r>
        <w:rPr>
          <w:rStyle w:val="7"/>
          <w:rFonts w:hint="eastAsia" w:ascii="仿宋_GB2312" w:hAnsi="黑体" w:eastAsia="仿宋_GB2312" w:cs="黑体"/>
          <w:snapToGrid w:val="0"/>
          <w:color w:val="000000"/>
          <w:sz w:val="32"/>
          <w:szCs w:val="32"/>
        </w:rPr>
        <w:t>管委会</w:t>
      </w:r>
      <w:r>
        <w:rPr>
          <w:rStyle w:val="7"/>
          <w:rFonts w:hint="eastAsia" w:ascii="仿宋_GB2312" w:hAnsi="黑体" w:eastAsia="仿宋_GB2312"/>
          <w:snapToGrid w:val="0"/>
          <w:color w:val="000000"/>
          <w:sz w:val="32"/>
          <w:szCs w:val="32"/>
        </w:rPr>
        <w:t>予以批评教育，责令补票；情节严重的，可处一百元的罚款。</w:t>
      </w:r>
    </w:p>
    <w:p>
      <w:pPr>
        <w:widowControl/>
        <w:ind w:firstLine="640" w:firstLineChars="200"/>
        <w:rPr>
          <w:rStyle w:val="7"/>
          <w:rFonts w:ascii="仿宋_GB2312" w:hAnsi="黑体" w:eastAsia="仿宋_GB2312"/>
          <w:snapToGrid w:val="0"/>
          <w:color w:val="000000"/>
          <w:sz w:val="32"/>
          <w:szCs w:val="32"/>
        </w:rPr>
      </w:pPr>
      <w:r>
        <w:rPr>
          <w:rStyle w:val="7"/>
          <w:rFonts w:hint="eastAsia" w:ascii="黑体" w:hAnsi="黑体" w:eastAsia="黑体"/>
          <w:snapToGrid w:val="0"/>
          <w:color w:val="000000"/>
          <w:sz w:val="32"/>
          <w:szCs w:val="32"/>
        </w:rPr>
        <w:t xml:space="preserve">第三十四条 </w:t>
      </w:r>
      <w:r>
        <w:rPr>
          <w:rFonts w:hint="eastAsia" w:ascii="仿宋_GB2312" w:hAnsi="黑体" w:eastAsia="仿宋_GB2312"/>
          <w:snapToGrid w:val="0"/>
          <w:color w:val="000000"/>
          <w:sz w:val="32"/>
          <w:szCs w:val="32"/>
        </w:rPr>
        <w:t>违反本条例第二十四条第一款规定的，由净月区管委会责令停止违法行为，并处五百元以上一千元以下的罚款；情节严重的，依照有关法律、法规的规定进行处罚。</w:t>
      </w:r>
    </w:p>
    <w:p>
      <w:pPr>
        <w:pStyle w:val="6"/>
        <w:widowControl w:val="0"/>
        <w:spacing w:before="0" w:beforeAutospacing="0" w:after="0" w:afterAutospacing="0"/>
        <w:ind w:firstLine="627" w:firstLineChars="196"/>
        <w:jc w:val="both"/>
        <w:rPr>
          <w:rStyle w:val="7"/>
          <w:rFonts w:ascii="仿宋_GB2312" w:hAnsi="黑体"/>
          <w:snapToGrid w:val="0"/>
          <w:color w:val="000000"/>
          <w:sz w:val="32"/>
          <w:szCs w:val="32"/>
        </w:rPr>
      </w:pPr>
      <w:r>
        <w:rPr>
          <w:rStyle w:val="7"/>
          <w:rFonts w:hint="eastAsia" w:ascii="黑体" w:hAnsi="黑体" w:eastAsia="黑体"/>
          <w:snapToGrid w:val="0"/>
          <w:color w:val="000000"/>
          <w:sz w:val="32"/>
          <w:szCs w:val="32"/>
        </w:rPr>
        <w:t>第三十五条</w:t>
      </w:r>
      <w:r>
        <w:rPr>
          <w:rStyle w:val="7"/>
          <w:rFonts w:hint="eastAsia" w:ascii="仿宋_GB2312" w:hAnsi="黑体"/>
          <w:snapToGrid w:val="0"/>
          <w:color w:val="000000"/>
          <w:sz w:val="32"/>
          <w:szCs w:val="32"/>
        </w:rPr>
        <w:t xml:space="preserve"> 违反本条例第二十五条第一款、</w:t>
      </w:r>
      <w:r>
        <w:rPr>
          <w:rStyle w:val="7"/>
          <w:rFonts w:hint="eastAsia" w:ascii="仿宋_GB2312" w:hAnsi="黑体" w:cs="黑体"/>
          <w:snapToGrid w:val="0"/>
          <w:color w:val="000000"/>
          <w:sz w:val="32"/>
          <w:szCs w:val="32"/>
        </w:rPr>
        <w:t>第二款</w:t>
      </w:r>
      <w:r>
        <w:rPr>
          <w:rStyle w:val="7"/>
          <w:rFonts w:hint="eastAsia" w:ascii="仿宋_GB2312" w:hAnsi="黑体"/>
          <w:snapToGrid w:val="0"/>
          <w:color w:val="000000"/>
          <w:sz w:val="32"/>
          <w:szCs w:val="32"/>
        </w:rPr>
        <w:t>规定</w:t>
      </w:r>
      <w:r>
        <w:rPr>
          <w:rFonts w:hint="eastAsia" w:ascii="仿宋_GB2312" w:hAnsi="黑体" w:cs="黑体"/>
          <w:snapToGrid w:val="0"/>
          <w:color w:val="000000"/>
          <w:sz w:val="32"/>
          <w:szCs w:val="32"/>
        </w:rPr>
        <w:t>的</w:t>
      </w:r>
      <w:r>
        <w:rPr>
          <w:rStyle w:val="7"/>
          <w:rFonts w:hint="eastAsia" w:ascii="仿宋_GB2312" w:hAnsi="黑体"/>
          <w:snapToGrid w:val="0"/>
          <w:color w:val="000000"/>
          <w:sz w:val="32"/>
          <w:szCs w:val="32"/>
        </w:rPr>
        <w:t>，</w:t>
      </w:r>
      <w:r>
        <w:rPr>
          <w:rFonts w:hint="eastAsia" w:ascii="仿宋_GB2312" w:hAnsi="Arial" w:cs="Arial"/>
          <w:color w:val="000000"/>
          <w:sz w:val="32"/>
          <w:szCs w:val="32"/>
        </w:rPr>
        <w:t>由净月区管委会责令停止违法行为、限期恢复原状或者采取其他补救措施，没收违法所得，并处五万元以上十万元以下的罚款；情节严重的，并处十万元以上二十万元以下的罚款。</w:t>
      </w:r>
    </w:p>
    <w:p>
      <w:pPr>
        <w:pStyle w:val="6"/>
        <w:widowControl w:val="0"/>
        <w:spacing w:before="0" w:beforeAutospacing="0" w:after="0" w:afterAutospacing="0"/>
        <w:ind w:firstLine="640" w:firstLineChars="200"/>
        <w:jc w:val="both"/>
        <w:rPr>
          <w:rFonts w:ascii="仿宋_GB2312" w:hAnsi="Arial" w:cs="Arial"/>
          <w:color w:val="000000"/>
          <w:sz w:val="32"/>
          <w:szCs w:val="32"/>
        </w:rPr>
      </w:pPr>
      <w:r>
        <w:rPr>
          <w:rStyle w:val="7"/>
          <w:rFonts w:hint="eastAsia" w:ascii="黑体" w:hAnsi="黑体" w:eastAsia="黑体"/>
          <w:snapToGrid w:val="0"/>
          <w:color w:val="000000"/>
          <w:sz w:val="32"/>
          <w:szCs w:val="32"/>
        </w:rPr>
        <w:t>第三十六条</w:t>
      </w:r>
      <w:r>
        <w:rPr>
          <w:rStyle w:val="7"/>
          <w:rFonts w:hint="eastAsia" w:ascii="仿宋_GB2312" w:hAnsi="黑体"/>
          <w:snapToGrid w:val="0"/>
          <w:color w:val="000000"/>
          <w:sz w:val="32"/>
          <w:szCs w:val="32"/>
        </w:rPr>
        <w:t xml:space="preserve"> </w:t>
      </w:r>
      <w:r>
        <w:rPr>
          <w:rStyle w:val="7"/>
          <w:rFonts w:hint="eastAsia" w:ascii="仿宋_GB2312" w:hAnsi="仿宋"/>
          <w:snapToGrid w:val="0"/>
          <w:color w:val="000000"/>
          <w:sz w:val="32"/>
          <w:szCs w:val="32"/>
        </w:rPr>
        <w:t>违反本条例第二十八条第</w:t>
      </w:r>
      <w:r>
        <w:rPr>
          <w:rStyle w:val="7"/>
          <w:rFonts w:hint="eastAsia" w:ascii="仿宋_GB2312" w:hAnsi="黑体" w:cs="黑体"/>
          <w:snapToGrid w:val="0"/>
          <w:color w:val="000000"/>
          <w:sz w:val="32"/>
          <w:szCs w:val="32"/>
        </w:rPr>
        <w:t>（一）、（二）项规定</w:t>
      </w:r>
      <w:r>
        <w:rPr>
          <w:rFonts w:hint="eastAsia" w:ascii="仿宋_GB2312" w:hAnsi="黑体" w:cs="黑体"/>
          <w:snapToGrid w:val="0"/>
          <w:color w:val="000000"/>
          <w:sz w:val="32"/>
          <w:szCs w:val="32"/>
        </w:rPr>
        <w:t>的</w:t>
      </w:r>
      <w:r>
        <w:rPr>
          <w:rStyle w:val="7"/>
          <w:rFonts w:hint="eastAsia" w:ascii="仿宋_GB2312" w:hAnsi="黑体" w:cs="黑体"/>
          <w:snapToGrid w:val="0"/>
          <w:color w:val="000000"/>
          <w:sz w:val="32"/>
          <w:szCs w:val="32"/>
        </w:rPr>
        <w:t>，由净月区管委会</w:t>
      </w:r>
      <w:r>
        <w:rPr>
          <w:rFonts w:hint="eastAsia" w:ascii="仿宋_GB2312" w:hAnsi="黑体" w:cs="黑体"/>
          <w:color w:val="000000"/>
          <w:sz w:val="32"/>
          <w:szCs w:val="32"/>
        </w:rPr>
        <w:t>责令恢复原状或者现场清理，并处五十元的罚款。</w:t>
      </w:r>
      <w:r>
        <w:rPr>
          <w:rStyle w:val="4"/>
          <w:rFonts w:hint="eastAsia" w:ascii="仿宋_GB2312" w:hAnsi="黑体" w:cs="黑体"/>
          <w:b w:val="0"/>
          <w:bCs w:val="0"/>
          <w:color w:val="000000"/>
          <w:kern w:val="2"/>
          <w:sz w:val="32"/>
          <w:szCs w:val="32"/>
        </w:rPr>
        <w:t>违反第</w:t>
      </w:r>
      <w:r>
        <w:rPr>
          <w:rStyle w:val="7"/>
          <w:rFonts w:hint="eastAsia" w:ascii="仿宋_GB2312" w:hAnsi="仿宋"/>
          <w:snapToGrid w:val="0"/>
          <w:color w:val="000000"/>
          <w:sz w:val="32"/>
          <w:szCs w:val="32"/>
        </w:rPr>
        <w:t>（三）、（四）、（五）、（六）、（七）、（八）、（九）、（十）、（十一）、（十二）、（十三）项规定</w:t>
      </w:r>
      <w:r>
        <w:rPr>
          <w:rFonts w:hint="eastAsia" w:ascii="仿宋_GB2312" w:hAnsi="黑体" w:cs="黑体"/>
          <w:snapToGrid w:val="0"/>
          <w:color w:val="000000"/>
          <w:sz w:val="32"/>
          <w:szCs w:val="32"/>
        </w:rPr>
        <w:t>的</w:t>
      </w:r>
      <w:r>
        <w:rPr>
          <w:rStyle w:val="7"/>
          <w:rFonts w:hint="eastAsia" w:ascii="仿宋_GB2312" w:hAnsi="仿宋"/>
          <w:snapToGrid w:val="0"/>
          <w:color w:val="000000"/>
          <w:sz w:val="32"/>
          <w:szCs w:val="32"/>
        </w:rPr>
        <w:t>，由净月区</w:t>
      </w:r>
      <w:r>
        <w:rPr>
          <w:rStyle w:val="7"/>
          <w:rFonts w:hint="eastAsia" w:ascii="仿宋_GB2312" w:hAnsi="黑体" w:cs="黑体"/>
          <w:snapToGrid w:val="0"/>
          <w:color w:val="000000"/>
          <w:sz w:val="32"/>
          <w:szCs w:val="32"/>
        </w:rPr>
        <w:t>管委会</w:t>
      </w:r>
      <w:r>
        <w:rPr>
          <w:rFonts w:hint="eastAsia" w:ascii="仿宋_GB2312" w:hAnsi="Arial" w:cs="Arial"/>
          <w:color w:val="000000"/>
          <w:sz w:val="32"/>
          <w:szCs w:val="32"/>
        </w:rPr>
        <w:t>进行批评教育、劝阻、责令改正；不听劝阻，拒不改正的，予以警告或者处五百元以下的罚款；情节严重的，处一千元以下的罚款；造成损失的，依法承担赔偿责任。</w:t>
      </w:r>
      <w:r>
        <w:rPr>
          <w:rFonts w:hint="eastAsia" w:ascii="仿宋_GB2312" w:hAnsi="黑体" w:cs="黑体"/>
          <w:color w:val="000000"/>
          <w:sz w:val="32"/>
          <w:szCs w:val="32"/>
        </w:rPr>
        <w:t>违反第（十四）项规定</w:t>
      </w:r>
      <w:r>
        <w:rPr>
          <w:rFonts w:hint="eastAsia" w:ascii="仿宋_GB2312" w:hAnsi="黑体" w:cs="黑体"/>
          <w:snapToGrid w:val="0"/>
          <w:color w:val="000000"/>
          <w:sz w:val="32"/>
          <w:szCs w:val="32"/>
        </w:rPr>
        <w:t>的</w:t>
      </w:r>
      <w:r>
        <w:rPr>
          <w:rFonts w:hint="eastAsia" w:ascii="仿宋_GB2312" w:hAnsi="黑体" w:cs="黑体"/>
          <w:color w:val="000000"/>
          <w:sz w:val="32"/>
          <w:szCs w:val="32"/>
        </w:rPr>
        <w:t>，</w:t>
      </w:r>
      <w:r>
        <w:rPr>
          <w:rStyle w:val="4"/>
          <w:rFonts w:hint="eastAsia" w:ascii="仿宋_GB2312" w:hAnsi="黑体" w:cs="黑体"/>
          <w:b w:val="0"/>
          <w:bCs w:val="0"/>
          <w:color w:val="000000"/>
          <w:kern w:val="2"/>
          <w:sz w:val="32"/>
          <w:szCs w:val="32"/>
        </w:rPr>
        <w:t>由</w:t>
      </w:r>
      <w:r>
        <w:rPr>
          <w:rStyle w:val="7"/>
          <w:rFonts w:hint="eastAsia" w:ascii="仿宋_GB2312" w:hAnsi="黑体" w:cs="黑体"/>
          <w:snapToGrid w:val="0"/>
          <w:color w:val="000000"/>
          <w:sz w:val="32"/>
          <w:szCs w:val="32"/>
        </w:rPr>
        <w:t>净月区管委会</w:t>
      </w:r>
      <w:r>
        <w:rPr>
          <w:rStyle w:val="4"/>
          <w:rFonts w:hint="eastAsia" w:ascii="仿宋_GB2312" w:hAnsi="黑体" w:cs="黑体"/>
          <w:b w:val="0"/>
          <w:bCs w:val="0"/>
          <w:color w:val="000000"/>
          <w:kern w:val="2"/>
          <w:sz w:val="32"/>
          <w:szCs w:val="32"/>
        </w:rPr>
        <w:t>责令停止违法行为、限期恢复原状或者采取其他补救措施，没收违法所得，并处一千元以上一万元以下的罚款。</w:t>
      </w:r>
      <w:r>
        <w:rPr>
          <w:rFonts w:hint="eastAsia" w:ascii="仿宋_GB2312" w:hAnsi="黑体" w:cs="黑体"/>
          <w:color w:val="000000"/>
          <w:sz w:val="32"/>
          <w:szCs w:val="32"/>
        </w:rPr>
        <w:t>违反第（十五）、</w:t>
      </w:r>
      <w:r>
        <w:rPr>
          <w:rStyle w:val="4"/>
          <w:rFonts w:hint="eastAsia" w:ascii="仿宋_GB2312" w:hAnsi="黑体" w:cs="黑体"/>
          <w:b w:val="0"/>
          <w:bCs w:val="0"/>
          <w:color w:val="000000"/>
          <w:kern w:val="2"/>
          <w:sz w:val="32"/>
          <w:szCs w:val="32"/>
        </w:rPr>
        <w:t>（十六）</w:t>
      </w:r>
      <w:r>
        <w:rPr>
          <w:rFonts w:hint="eastAsia" w:ascii="仿宋_GB2312" w:hAnsi="黑体" w:cs="黑体"/>
          <w:color w:val="000000"/>
          <w:sz w:val="32"/>
          <w:szCs w:val="32"/>
        </w:rPr>
        <w:t>项规定</w:t>
      </w:r>
      <w:r>
        <w:rPr>
          <w:rFonts w:hint="eastAsia" w:ascii="仿宋_GB2312" w:hAnsi="黑体" w:cs="黑体"/>
          <w:snapToGrid w:val="0"/>
          <w:color w:val="000000"/>
          <w:sz w:val="32"/>
          <w:szCs w:val="32"/>
        </w:rPr>
        <w:t>的</w:t>
      </w:r>
      <w:r>
        <w:rPr>
          <w:rFonts w:hint="eastAsia" w:ascii="仿宋_GB2312" w:hAnsi="黑体" w:cs="黑体"/>
          <w:color w:val="000000"/>
          <w:sz w:val="32"/>
          <w:szCs w:val="32"/>
        </w:rPr>
        <w:t>，</w:t>
      </w:r>
      <w:r>
        <w:rPr>
          <w:rStyle w:val="4"/>
          <w:rFonts w:hint="eastAsia" w:ascii="仿宋_GB2312" w:hAnsi="黑体" w:cs="黑体"/>
          <w:b w:val="0"/>
          <w:bCs w:val="0"/>
          <w:color w:val="000000"/>
          <w:kern w:val="2"/>
          <w:sz w:val="32"/>
          <w:szCs w:val="32"/>
        </w:rPr>
        <w:t>依照有关法律、法规的规定进行处罚。</w:t>
      </w:r>
    </w:p>
    <w:p>
      <w:pPr>
        <w:pStyle w:val="6"/>
        <w:widowControl w:val="0"/>
        <w:spacing w:before="0" w:beforeAutospacing="0" w:after="0" w:afterAutospacing="0"/>
        <w:ind w:firstLine="640" w:firstLineChars="200"/>
        <w:jc w:val="both"/>
        <w:rPr>
          <w:rStyle w:val="7"/>
          <w:rFonts w:ascii="仿宋_GB2312" w:hAnsi="黑体"/>
          <w:snapToGrid w:val="0"/>
          <w:color w:val="000000"/>
          <w:sz w:val="32"/>
          <w:szCs w:val="32"/>
        </w:rPr>
      </w:pPr>
      <w:r>
        <w:rPr>
          <w:rStyle w:val="7"/>
          <w:rFonts w:hint="eastAsia" w:ascii="黑体" w:hAnsi="黑体" w:eastAsia="黑体"/>
          <w:snapToGrid w:val="0"/>
          <w:color w:val="000000"/>
          <w:sz w:val="32"/>
          <w:szCs w:val="32"/>
        </w:rPr>
        <w:t xml:space="preserve">第三十七条 </w:t>
      </w:r>
      <w:r>
        <w:rPr>
          <w:rStyle w:val="7"/>
          <w:rFonts w:hint="eastAsia" w:ascii="仿宋_GB2312" w:hAnsi="黑体"/>
          <w:snapToGrid w:val="0"/>
          <w:color w:val="000000"/>
          <w:sz w:val="32"/>
          <w:szCs w:val="32"/>
        </w:rPr>
        <w:t>净月区管委会</w:t>
      </w:r>
      <w:r>
        <w:rPr>
          <w:rFonts w:hint="eastAsia" w:ascii="仿宋_GB2312"/>
          <w:color w:val="000000"/>
          <w:sz w:val="32"/>
          <w:szCs w:val="32"/>
        </w:rPr>
        <w:t>违反本条例规定，</w:t>
      </w:r>
      <w:r>
        <w:rPr>
          <w:rStyle w:val="7"/>
          <w:rFonts w:hint="eastAsia" w:ascii="仿宋_GB2312" w:hAnsi="黑体"/>
          <w:snapToGrid w:val="0"/>
          <w:color w:val="000000"/>
          <w:sz w:val="32"/>
          <w:szCs w:val="32"/>
        </w:rPr>
        <w:t>有下列行为之一的，由市人民政府责令改正，情节严重的，对主管人员和其他责任人员依法给予处分；构成犯罪的，依法追究刑事责任：</w:t>
      </w:r>
    </w:p>
    <w:p>
      <w:pPr>
        <w:pStyle w:val="6"/>
        <w:widowControl w:val="0"/>
        <w:spacing w:before="0" w:beforeAutospacing="0" w:after="0" w:afterAutospacing="0"/>
        <w:ind w:firstLine="640" w:firstLineChars="200"/>
        <w:jc w:val="both"/>
        <w:rPr>
          <w:rStyle w:val="7"/>
          <w:rFonts w:ascii="仿宋_GB2312" w:hAnsi="黑体"/>
          <w:snapToGrid w:val="0"/>
          <w:color w:val="000000"/>
          <w:sz w:val="32"/>
          <w:szCs w:val="32"/>
        </w:rPr>
      </w:pPr>
      <w:r>
        <w:rPr>
          <w:rStyle w:val="7"/>
          <w:rFonts w:hint="eastAsia" w:ascii="仿宋_GB2312" w:hAnsi="黑体"/>
          <w:snapToGrid w:val="0"/>
          <w:color w:val="000000"/>
          <w:sz w:val="32"/>
          <w:szCs w:val="32"/>
        </w:rPr>
        <w:t>（一）</w:t>
      </w:r>
      <w:r>
        <w:rPr>
          <w:rFonts w:hint="eastAsia" w:ascii="仿宋_GB2312" w:hAnsi="黑体"/>
          <w:snapToGrid w:val="0"/>
          <w:color w:val="000000"/>
          <w:sz w:val="32"/>
          <w:szCs w:val="32"/>
        </w:rPr>
        <w:t>超过环境容量接纳游客和</w:t>
      </w:r>
      <w:r>
        <w:rPr>
          <w:rStyle w:val="7"/>
          <w:rFonts w:hint="eastAsia" w:ascii="仿宋_GB2312" w:hAnsi="仿宋_GB2312" w:cs="仿宋_GB2312"/>
          <w:snapToGrid w:val="0"/>
          <w:sz w:val="32"/>
          <w:szCs w:val="32"/>
        </w:rPr>
        <w:t>徒步健身者</w:t>
      </w:r>
      <w:r>
        <w:rPr>
          <w:rFonts w:hint="eastAsia" w:ascii="仿宋_GB2312" w:hAnsi="黑体"/>
          <w:snapToGrid w:val="0"/>
          <w:color w:val="000000"/>
          <w:sz w:val="32"/>
          <w:szCs w:val="32"/>
        </w:rPr>
        <w:t>的；</w:t>
      </w:r>
      <w:r>
        <w:rPr>
          <w:rStyle w:val="7"/>
          <w:rFonts w:hint="eastAsia" w:ascii="仿宋_GB2312" w:hAnsi="黑体"/>
          <w:snapToGrid w:val="0"/>
          <w:color w:val="000000"/>
          <w:sz w:val="32"/>
          <w:szCs w:val="32"/>
        </w:rPr>
        <w:t xml:space="preserve"> </w:t>
      </w:r>
    </w:p>
    <w:p>
      <w:pPr>
        <w:pStyle w:val="6"/>
        <w:widowControl w:val="0"/>
        <w:spacing w:before="0" w:beforeAutospacing="0" w:after="0" w:afterAutospacing="0"/>
        <w:ind w:firstLine="640" w:firstLineChars="200"/>
        <w:jc w:val="both"/>
        <w:rPr>
          <w:rStyle w:val="7"/>
          <w:rFonts w:ascii="仿宋_GB2312" w:hAnsi="黑体"/>
          <w:snapToGrid w:val="0"/>
          <w:color w:val="000000"/>
          <w:sz w:val="32"/>
          <w:szCs w:val="32"/>
        </w:rPr>
      </w:pPr>
      <w:r>
        <w:rPr>
          <w:rStyle w:val="7"/>
          <w:rFonts w:hint="eastAsia" w:ascii="仿宋_GB2312" w:hAnsi="黑体"/>
          <w:snapToGrid w:val="0"/>
          <w:color w:val="000000"/>
          <w:sz w:val="32"/>
          <w:szCs w:val="32"/>
        </w:rPr>
        <w:t>（二）未设置</w:t>
      </w:r>
      <w:r>
        <w:rPr>
          <w:rStyle w:val="7"/>
          <w:rFonts w:hint="eastAsia" w:ascii="仿宋_GB2312" w:hAnsi="黑体" w:cs="黑体"/>
          <w:snapToGrid w:val="0"/>
          <w:color w:val="000000"/>
          <w:sz w:val="32"/>
          <w:szCs w:val="32"/>
        </w:rPr>
        <w:t>净月潭风景区</w:t>
      </w:r>
      <w:r>
        <w:rPr>
          <w:rStyle w:val="7"/>
          <w:rFonts w:hint="eastAsia" w:ascii="仿宋_GB2312" w:hAnsi="黑体"/>
          <w:snapToGrid w:val="0"/>
          <w:color w:val="000000"/>
          <w:sz w:val="32"/>
          <w:szCs w:val="32"/>
        </w:rPr>
        <w:t xml:space="preserve">标志和路标、安全警示等标牌的； </w:t>
      </w:r>
    </w:p>
    <w:p>
      <w:pPr>
        <w:pStyle w:val="6"/>
        <w:widowControl w:val="0"/>
        <w:spacing w:before="0" w:beforeAutospacing="0" w:after="0" w:afterAutospacing="0"/>
        <w:ind w:firstLine="640" w:firstLineChars="200"/>
        <w:jc w:val="both"/>
        <w:rPr>
          <w:rStyle w:val="7"/>
          <w:rFonts w:ascii="仿宋_GB2312" w:hAnsi="黑体"/>
          <w:snapToGrid w:val="0"/>
          <w:color w:val="000000"/>
          <w:sz w:val="32"/>
          <w:szCs w:val="32"/>
        </w:rPr>
      </w:pPr>
      <w:r>
        <w:rPr>
          <w:rStyle w:val="7"/>
          <w:rFonts w:hint="eastAsia" w:ascii="仿宋_GB2312" w:hAnsi="黑体"/>
          <w:snapToGrid w:val="0"/>
          <w:color w:val="000000"/>
          <w:sz w:val="32"/>
          <w:szCs w:val="32"/>
        </w:rPr>
        <w:t xml:space="preserve">（三）从事以营利为目的经营活动的； </w:t>
      </w:r>
    </w:p>
    <w:p>
      <w:pPr>
        <w:pStyle w:val="6"/>
        <w:widowControl w:val="0"/>
        <w:spacing w:before="0" w:beforeAutospacing="0" w:after="0" w:afterAutospacing="0"/>
        <w:ind w:firstLine="640" w:firstLineChars="200"/>
        <w:jc w:val="both"/>
        <w:rPr>
          <w:rStyle w:val="7"/>
          <w:rFonts w:ascii="仿宋_GB2312" w:hAnsi="黑体"/>
          <w:snapToGrid w:val="0"/>
          <w:color w:val="000000"/>
          <w:sz w:val="32"/>
          <w:szCs w:val="32"/>
        </w:rPr>
      </w:pPr>
      <w:r>
        <w:rPr>
          <w:rStyle w:val="7"/>
          <w:rFonts w:hint="eastAsia" w:ascii="仿宋_GB2312" w:hAnsi="黑体"/>
          <w:snapToGrid w:val="0"/>
          <w:color w:val="000000"/>
          <w:sz w:val="32"/>
          <w:szCs w:val="32"/>
        </w:rPr>
        <w:t>（四）审核批准不符合</w:t>
      </w:r>
      <w:r>
        <w:rPr>
          <w:rStyle w:val="7"/>
          <w:rFonts w:hint="eastAsia" w:ascii="仿宋_GB2312" w:hAnsi="黑体" w:cs="黑体"/>
          <w:snapToGrid w:val="0"/>
          <w:color w:val="000000"/>
          <w:sz w:val="32"/>
          <w:szCs w:val="32"/>
        </w:rPr>
        <w:t>净月潭风景区</w:t>
      </w:r>
      <w:r>
        <w:rPr>
          <w:rStyle w:val="7"/>
          <w:rFonts w:hint="eastAsia" w:ascii="仿宋_GB2312" w:hAnsi="黑体"/>
          <w:snapToGrid w:val="0"/>
          <w:color w:val="000000"/>
          <w:sz w:val="32"/>
          <w:szCs w:val="32"/>
        </w:rPr>
        <w:t>规划建设活动的；</w:t>
      </w:r>
    </w:p>
    <w:p>
      <w:pPr>
        <w:pStyle w:val="6"/>
        <w:widowControl w:val="0"/>
        <w:spacing w:before="0" w:beforeAutospacing="0" w:after="0" w:afterAutospacing="0"/>
        <w:ind w:firstLine="640" w:firstLineChars="200"/>
        <w:jc w:val="both"/>
        <w:rPr>
          <w:rStyle w:val="7"/>
          <w:rFonts w:ascii="仿宋_GB2312" w:hAnsi="黑体"/>
          <w:snapToGrid w:val="0"/>
          <w:color w:val="000000"/>
          <w:sz w:val="32"/>
          <w:szCs w:val="32"/>
        </w:rPr>
      </w:pPr>
      <w:r>
        <w:rPr>
          <w:rStyle w:val="7"/>
          <w:rFonts w:hint="eastAsia" w:ascii="仿宋_GB2312" w:hAnsi="黑体"/>
          <w:snapToGrid w:val="0"/>
          <w:color w:val="000000"/>
          <w:sz w:val="32"/>
          <w:szCs w:val="32"/>
        </w:rPr>
        <w:t>（五）违反</w:t>
      </w:r>
      <w:r>
        <w:rPr>
          <w:rStyle w:val="7"/>
          <w:rFonts w:hint="eastAsia" w:ascii="仿宋_GB2312" w:hAnsi="黑体" w:cs="黑体"/>
          <w:snapToGrid w:val="0"/>
          <w:color w:val="000000"/>
          <w:sz w:val="32"/>
          <w:szCs w:val="32"/>
        </w:rPr>
        <w:t>净月潭风景区</w:t>
      </w:r>
      <w:r>
        <w:rPr>
          <w:rStyle w:val="7"/>
          <w:rFonts w:hint="eastAsia" w:ascii="仿宋_GB2312" w:hAnsi="黑体"/>
          <w:snapToGrid w:val="0"/>
          <w:color w:val="000000"/>
          <w:sz w:val="32"/>
          <w:szCs w:val="32"/>
        </w:rPr>
        <w:t xml:space="preserve">规划进行违章建设、损毁景物的； </w:t>
      </w:r>
    </w:p>
    <w:p>
      <w:pPr>
        <w:pStyle w:val="6"/>
        <w:widowControl w:val="0"/>
        <w:spacing w:before="0" w:beforeAutospacing="0" w:after="0" w:afterAutospacing="0"/>
        <w:ind w:firstLine="640" w:firstLineChars="200"/>
        <w:jc w:val="both"/>
        <w:rPr>
          <w:rStyle w:val="7"/>
          <w:rFonts w:ascii="仿宋_GB2312" w:hAnsi="黑体"/>
          <w:snapToGrid w:val="0"/>
          <w:color w:val="000000"/>
          <w:sz w:val="32"/>
          <w:szCs w:val="32"/>
        </w:rPr>
      </w:pPr>
      <w:r>
        <w:rPr>
          <w:rStyle w:val="7"/>
          <w:rFonts w:hint="eastAsia" w:ascii="仿宋_GB2312" w:hAnsi="黑体"/>
          <w:snapToGrid w:val="0"/>
          <w:color w:val="000000"/>
          <w:sz w:val="32"/>
          <w:szCs w:val="32"/>
        </w:rPr>
        <w:t>（六）其他滥用职权、玩忽职守、徇私舞弊的行为。</w:t>
      </w:r>
    </w:p>
    <w:p>
      <w:pPr>
        <w:tabs>
          <w:tab w:val="left" w:pos="1704"/>
        </w:tabs>
        <w:ind w:firstLine="640" w:firstLineChars="200"/>
        <w:rPr>
          <w:rFonts w:ascii="仿宋_GB2312" w:hAnsi="仿宋_GB2312" w:eastAsia="仿宋_GB2312" w:cs="仿宋_GB2312"/>
          <w:bCs/>
          <w:sz w:val="32"/>
          <w:szCs w:val="32"/>
        </w:rPr>
      </w:pPr>
      <w:r>
        <w:rPr>
          <w:rFonts w:hint="eastAsia" w:ascii="黑体" w:hAnsi="黑体" w:eastAsia="黑体"/>
          <w:color w:val="000000"/>
          <w:sz w:val="32"/>
          <w:szCs w:val="32"/>
        </w:rPr>
        <w:t>第三十八条</w:t>
      </w:r>
      <w:r>
        <w:rPr>
          <w:rFonts w:hint="eastAsia" w:ascii="仿宋_GB2312" w:hAnsi="黑体"/>
          <w:color w:val="000000"/>
          <w:sz w:val="32"/>
          <w:szCs w:val="32"/>
        </w:rPr>
        <w:t xml:space="preserve"> </w:t>
      </w:r>
      <w:r>
        <w:rPr>
          <w:rFonts w:hint="eastAsia" w:ascii="仿宋_GB2312" w:eastAsia="仿宋_GB2312"/>
          <w:color w:val="000000"/>
          <w:sz w:val="32"/>
          <w:szCs w:val="32"/>
        </w:rPr>
        <w:t>本条例自2015年10月1日起施行。</w:t>
      </w:r>
    </w:p>
    <w:p>
      <w:pPr>
        <w:widowControl/>
        <w:jc w:val="left"/>
        <w:rPr>
          <w:rFonts w:ascii="仿宋_GB2312" w:eastAsia="仿宋_GB2312"/>
          <w:sz w:val="32"/>
          <w:szCs w:val="32"/>
        </w:rPr>
      </w:pPr>
    </w:p>
    <w:p>
      <w:bookmarkStart w:id="0" w:name="_GoBack"/>
      <w:bookmarkEnd w:id="0"/>
    </w:p>
    <w:sectPr>
      <w:footerReference r:id="rId3" w:type="default"/>
      <w:pgSz w:w="11906" w:h="16838"/>
      <w:pgMar w:top="2211" w:right="1531" w:bottom="1304" w:left="1531"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10460"/>
      <w:docPartObj>
        <w:docPartGallery w:val="autotext"/>
      </w:docPartObj>
    </w:sdtPr>
    <w:sdtContent>
      <w:p>
        <w:pPr>
          <w:pStyle w:val="2"/>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28AD6"/>
    <w:multiLevelType w:val="singleLevel"/>
    <w:tmpl w:val="55D28AD6"/>
    <w:lvl w:ilvl="0" w:tentative="0">
      <w:start w:val="1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F1AD6"/>
    <w:rsid w:val="678F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character" w:styleId="4">
    <w:name w:val="Strong"/>
    <w:qFormat/>
    <w:uiPriority w:val="0"/>
    <w:rPr>
      <w:b/>
      <w:bCs/>
    </w:rPr>
  </w:style>
  <w:style w:type="paragraph" w:customStyle="1" w:styleId="6">
    <w:name w:val="pa-4"/>
    <w:basedOn w:val="1"/>
    <w:qFormat/>
    <w:uiPriority w:val="0"/>
    <w:pPr>
      <w:widowControl/>
      <w:spacing w:before="100" w:beforeAutospacing="1" w:after="100" w:afterAutospacing="1"/>
      <w:jc w:val="left"/>
    </w:pPr>
    <w:rPr>
      <w:rFonts w:ascii="宋体" w:hAnsi="宋体" w:eastAsia="仿宋_GB2312" w:cs="宋体"/>
      <w:kern w:val="0"/>
      <w:sz w:val="24"/>
      <w:szCs w:val="24"/>
    </w:rPr>
  </w:style>
  <w:style w:type="character" w:customStyle="1" w:styleId="7">
    <w:name w:val="ca-3"/>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2018-12-14T06:29:00Z</dcterms:created>
  <dc:creator>lenovo</dc:creator>
  <cp:lastModifiedBy>lenovo</cp:lastModifiedBy>
  <dcterms:modified xsi:type="dcterms:W3CDTF">2018-12-14T06:29:50Z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