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大标宋_GBK" w:hAnsi="宋体" w:eastAsia="方正大标宋_GBK" w:cs="Calibri"/>
          <w:w w:val="97"/>
          <w:sz w:val="44"/>
          <w:szCs w:val="44"/>
        </w:rPr>
      </w:pPr>
      <w:r>
        <w:rPr>
          <w:rFonts w:hint="eastAsia" w:ascii="方正大标宋_GBK" w:hAnsi="宋体" w:eastAsia="方正大标宋_GBK" w:cs="Calibri"/>
          <w:w w:val="97"/>
          <w:sz w:val="44"/>
          <w:szCs w:val="44"/>
        </w:rPr>
        <w:t>长春市农作物秸秆露天禁烧和综合          利用管理条例</w:t>
      </w:r>
    </w:p>
    <w:p>
      <w:pPr>
        <w:spacing w:line="600" w:lineRule="exact"/>
        <w:jc w:val="center"/>
        <w:rPr>
          <w:rFonts w:ascii="方正大标宋_GBK" w:hAnsi="宋体" w:eastAsia="方正大标宋_GBK" w:cs="Calibri"/>
          <w:w w:val="97"/>
          <w:sz w:val="44"/>
          <w:szCs w:val="44"/>
        </w:rPr>
      </w:pPr>
    </w:p>
    <w:p>
      <w:pPr>
        <w:spacing w:before="100" w:beforeAutospacing="1" w:after="100" w:afterAutospacing="1" w:line="432" w:lineRule="auto"/>
        <w:ind w:firstLine="560" w:firstLineChars="200"/>
        <w:rPr>
          <w:rFonts w:ascii="宋体" w:hAnsi="宋体" w:cs="宋体"/>
          <w:color w:val="333333"/>
          <w:kern w:val="0"/>
          <w:sz w:val="24"/>
        </w:rPr>
      </w:pPr>
      <w:r>
        <w:rPr>
          <w:rFonts w:hint="eastAsia" w:ascii="楷体_GB2312" w:eastAsia="楷体_GB2312"/>
          <w:sz w:val="28"/>
          <w:szCs w:val="28"/>
        </w:rPr>
        <w:t>（2019年10月30日长春市第十五届人民代表大会常务委员会第二十三次会议通过</w:t>
      </w:r>
      <w:r>
        <w:rPr>
          <w:rFonts w:hint="eastAsia" w:ascii="楷体_GB2312" w:eastAsia="楷体_GB2312"/>
          <w:sz w:val="28"/>
          <w:szCs w:val="28"/>
          <w:lang w:val="en-US" w:eastAsia="zh-CN"/>
        </w:rPr>
        <w:t xml:space="preserve">  </w:t>
      </w:r>
      <w:r>
        <w:rPr>
          <w:rFonts w:hint="eastAsia" w:ascii="楷体_GB2312" w:eastAsia="楷体_GB2312"/>
          <w:sz w:val="28"/>
          <w:szCs w:val="28"/>
        </w:rPr>
        <w:t xml:space="preserve">2019年11月28日吉林省第十三届人民代表大会常务委员会第十七次会议批准 </w:t>
      </w:r>
      <w:r>
        <w:rPr>
          <w:rFonts w:hint="eastAsia" w:ascii="楷体_GB2312" w:eastAsia="楷体_GB2312"/>
          <w:sz w:val="28"/>
          <w:szCs w:val="28"/>
          <w:lang w:val="en-US" w:eastAsia="zh-CN"/>
        </w:rPr>
        <w:t xml:space="preserve"> </w:t>
      </w:r>
      <w:r>
        <w:rPr>
          <w:rFonts w:hint="eastAsia" w:ascii="楷体_GB2312" w:eastAsia="楷体_GB2312"/>
          <w:sz w:val="28"/>
          <w:szCs w:val="28"/>
        </w:rPr>
        <w:t>根据2022年6月29日长春市第十六届人民代表大会常务委员会第二次会议通过</w:t>
      </w:r>
      <w:r>
        <w:rPr>
          <w:rFonts w:hint="eastAsia" w:ascii="楷体_GB2312" w:eastAsia="楷体_GB2312"/>
          <w:sz w:val="28"/>
          <w:szCs w:val="28"/>
          <w:lang w:val="en-US" w:eastAsia="zh-CN"/>
        </w:rPr>
        <w:t xml:space="preserve">  </w:t>
      </w:r>
      <w:r>
        <w:rPr>
          <w:rFonts w:hint="eastAsia" w:ascii="楷体_GB2312" w:eastAsia="楷体_GB2312"/>
          <w:sz w:val="28"/>
          <w:szCs w:val="28"/>
        </w:rPr>
        <w:t>2022年11月30日吉林省第十三届人民代表大会</w:t>
      </w:r>
      <w:r>
        <w:rPr>
          <w:rFonts w:hint="eastAsia" w:ascii="楷体_GB2312" w:eastAsia="楷体_GB2312"/>
          <w:kern w:val="0"/>
          <w:sz w:val="28"/>
          <w:szCs w:val="28"/>
        </w:rPr>
        <w:t>常务委员会第三十七次会议批准的</w:t>
      </w:r>
      <w:r>
        <w:rPr>
          <w:rFonts w:hint="eastAsia" w:ascii="楷体_GB2312" w:eastAsia="楷体_GB2312"/>
          <w:sz w:val="28"/>
          <w:szCs w:val="28"/>
        </w:rPr>
        <w:t>《长春市人民代表大会常务委员会关于修改&lt;长春市农作物秸秆露天禁烧和综合利用管理条例&gt;的决定》修正</w:t>
      </w:r>
      <w:r>
        <w:rPr>
          <w:rFonts w:hint="eastAsia" w:ascii="楷体_GB2312" w:hAnsi="黑体" w:eastAsia="楷体_GB2312"/>
          <w:color w:val="000000" w:themeColor="text1"/>
          <w:kern w:val="0"/>
          <w:sz w:val="28"/>
          <w:szCs w:val="28"/>
        </w:rPr>
        <w:t>）</w:t>
      </w:r>
    </w:p>
    <w:p>
      <w:pPr>
        <w:jc w:val="center"/>
        <w:rPr>
          <w:rFonts w:hint="eastAsia" w:ascii="仿宋_GB2312" w:eastAsia="仿宋_GB2312"/>
          <w:sz w:val="32"/>
          <w:szCs w:val="32"/>
        </w:rPr>
      </w:pPr>
    </w:p>
    <w:p>
      <w:pPr>
        <w:jc w:val="center"/>
        <w:rPr>
          <w:rFonts w:ascii="楷体_GB2312" w:hAnsi="黑体" w:eastAsia="楷体_GB2312"/>
          <w:color w:val="000000" w:themeColor="text1"/>
          <w:sz w:val="32"/>
          <w:szCs w:val="32"/>
        </w:rPr>
      </w:pPr>
      <w:r>
        <w:rPr>
          <w:rFonts w:hint="eastAsia" w:ascii="楷体_GB2312" w:hAnsi="黑体" w:eastAsia="楷体_GB2312"/>
          <w:color w:val="000000" w:themeColor="text1"/>
          <w:sz w:val="32"/>
          <w:szCs w:val="32"/>
        </w:rPr>
        <w:t>目录</w:t>
      </w:r>
    </w:p>
    <w:p>
      <w:pPr>
        <w:jc w:val="left"/>
        <w:rPr>
          <w:rFonts w:ascii="楷体_GB2312" w:hAnsi="黑体" w:eastAsia="楷体_GB2312"/>
          <w:color w:val="000000" w:themeColor="text1"/>
          <w:sz w:val="32"/>
          <w:szCs w:val="32"/>
        </w:rPr>
      </w:pPr>
      <w:r>
        <w:rPr>
          <w:rFonts w:hint="eastAsia" w:ascii="楷体_GB2312" w:hAnsi="黑体" w:eastAsia="楷体_GB2312"/>
          <w:color w:val="000000" w:themeColor="text1"/>
          <w:sz w:val="32"/>
          <w:szCs w:val="32"/>
        </w:rPr>
        <w:t>第一章 总则</w:t>
      </w:r>
    </w:p>
    <w:p>
      <w:pPr>
        <w:jc w:val="left"/>
        <w:rPr>
          <w:rFonts w:ascii="楷体_GB2312" w:hAnsi="黑体" w:eastAsia="楷体_GB2312"/>
          <w:color w:val="000000" w:themeColor="text1"/>
          <w:sz w:val="32"/>
          <w:szCs w:val="32"/>
        </w:rPr>
      </w:pPr>
      <w:r>
        <w:rPr>
          <w:rFonts w:hint="eastAsia" w:ascii="楷体_GB2312" w:hAnsi="黑体" w:eastAsia="楷体_GB2312"/>
          <w:color w:val="000000" w:themeColor="text1"/>
          <w:sz w:val="32"/>
          <w:szCs w:val="32"/>
        </w:rPr>
        <w:t xml:space="preserve">第二章 </w:t>
      </w:r>
      <w:r>
        <w:rPr>
          <w:rFonts w:hint="eastAsia" w:ascii="楷体_GB2312" w:hAnsi="黑体" w:eastAsia="楷体_GB2312" w:cs="仿宋_GB2312"/>
          <w:sz w:val="32"/>
          <w:szCs w:val="32"/>
        </w:rPr>
        <w:t>秸秆露天禁烧</w:t>
      </w:r>
    </w:p>
    <w:p>
      <w:pPr>
        <w:jc w:val="left"/>
        <w:rPr>
          <w:rFonts w:ascii="楷体_GB2312" w:hAnsi="黑体" w:eastAsia="楷体_GB2312"/>
          <w:color w:val="000000" w:themeColor="text1"/>
          <w:sz w:val="32"/>
          <w:szCs w:val="32"/>
        </w:rPr>
      </w:pPr>
      <w:r>
        <w:rPr>
          <w:rFonts w:hint="eastAsia" w:ascii="楷体_GB2312" w:hAnsi="黑体" w:eastAsia="楷体_GB2312"/>
          <w:color w:val="000000" w:themeColor="text1"/>
          <w:sz w:val="32"/>
          <w:szCs w:val="32"/>
        </w:rPr>
        <w:t xml:space="preserve">第三章 </w:t>
      </w:r>
      <w:r>
        <w:rPr>
          <w:rFonts w:hint="eastAsia" w:ascii="楷体_GB2312" w:hAnsi="黑体" w:eastAsia="楷体_GB2312" w:cs="仿宋_GB2312"/>
          <w:sz w:val="32"/>
          <w:szCs w:val="32"/>
        </w:rPr>
        <w:t>秸秆综合利用</w:t>
      </w:r>
    </w:p>
    <w:p>
      <w:pPr>
        <w:jc w:val="left"/>
        <w:rPr>
          <w:rFonts w:ascii="楷体_GB2312" w:hAnsi="黑体" w:eastAsia="楷体_GB2312" w:cs="黑体"/>
          <w:sz w:val="32"/>
          <w:szCs w:val="32"/>
        </w:rPr>
      </w:pPr>
      <w:r>
        <w:rPr>
          <w:rFonts w:hint="eastAsia" w:ascii="楷体_GB2312" w:hAnsi="黑体" w:eastAsia="楷体_GB2312"/>
          <w:color w:val="000000" w:themeColor="text1"/>
          <w:sz w:val="32"/>
          <w:szCs w:val="32"/>
        </w:rPr>
        <w:t xml:space="preserve">第四章 </w:t>
      </w:r>
      <w:r>
        <w:rPr>
          <w:rFonts w:hint="eastAsia" w:ascii="楷体_GB2312" w:hAnsi="黑体" w:eastAsia="楷体_GB2312"/>
          <w:bCs/>
          <w:sz w:val="32"/>
          <w:szCs w:val="32"/>
        </w:rPr>
        <w:t>法律责任</w:t>
      </w:r>
    </w:p>
    <w:p>
      <w:pPr>
        <w:jc w:val="left"/>
        <w:rPr>
          <w:rFonts w:ascii="楷体_GB2312" w:hAnsi="黑体" w:eastAsia="楷体_GB2312"/>
          <w:color w:val="000000" w:themeColor="text1"/>
          <w:sz w:val="32"/>
          <w:szCs w:val="32"/>
        </w:rPr>
      </w:pPr>
      <w:r>
        <w:rPr>
          <w:rFonts w:hint="eastAsia" w:ascii="楷体_GB2312" w:hAnsi="黑体" w:eastAsia="楷体_GB2312" w:cs="黑体"/>
          <w:sz w:val="32"/>
          <w:szCs w:val="32"/>
        </w:rPr>
        <w:t xml:space="preserve">第五章 </w:t>
      </w:r>
      <w:r>
        <w:rPr>
          <w:rFonts w:hint="eastAsia" w:ascii="楷体_GB2312" w:hAnsi="黑体" w:eastAsia="楷体_GB2312"/>
          <w:bCs/>
          <w:sz w:val="32"/>
          <w:szCs w:val="32"/>
        </w:rPr>
        <w:t>附则</w:t>
      </w:r>
    </w:p>
    <w:p>
      <w:pPr>
        <w:jc w:val="center"/>
        <w:rPr>
          <w:rFonts w:ascii="仿宋_GB2312" w:eastAsia="仿宋_GB2312"/>
          <w:sz w:val="32"/>
          <w:szCs w:val="32"/>
        </w:rPr>
      </w:pPr>
    </w:p>
    <w:p>
      <w:pPr>
        <w:spacing w:after="240"/>
        <w:jc w:val="center"/>
        <w:rPr>
          <w:rFonts w:ascii="仿宋_GB2312" w:eastAsia="仿宋_GB2312"/>
          <w:sz w:val="32"/>
          <w:szCs w:val="32"/>
        </w:rPr>
      </w:pPr>
      <w:bookmarkStart w:id="24" w:name="_GoBack"/>
      <w:r>
        <w:rPr>
          <w:rFonts w:ascii="黑体" w:eastAsia="黑体"/>
          <w:sz w:val="32"/>
          <w:szCs w:val="32"/>
        </w:rPr>
        <w:t>第一章</w:t>
      </w:r>
      <w:r>
        <w:rPr>
          <w:rFonts w:hint="eastAsia" w:ascii="黑体" w:eastAsia="黑体"/>
          <w:sz w:val="32"/>
          <w:szCs w:val="32"/>
        </w:rPr>
        <w:t xml:space="preserve"> </w:t>
      </w:r>
      <w:r>
        <w:rPr>
          <w:rFonts w:ascii="黑体" w:eastAsia="黑体"/>
          <w:sz w:val="32"/>
          <w:szCs w:val="32"/>
        </w:rPr>
        <w:t xml:space="preserve"> 总</w:t>
      </w:r>
      <w:r>
        <w:rPr>
          <w:rFonts w:hint="eastAsia" w:ascii="黑体" w:eastAsia="黑体"/>
          <w:sz w:val="32"/>
          <w:szCs w:val="32"/>
        </w:rPr>
        <w:t xml:space="preserve">  </w:t>
      </w:r>
      <w:r>
        <w:rPr>
          <w:rFonts w:ascii="黑体" w:eastAsia="黑体"/>
          <w:sz w:val="32"/>
          <w:szCs w:val="32"/>
        </w:rPr>
        <w:t>则</w:t>
      </w:r>
    </w:p>
    <w:bookmarkEnd w:id="24"/>
    <w:p>
      <w:pPr>
        <w:pStyle w:val="14"/>
        <w:keepNext w:val="0"/>
        <w:keepLines w:val="0"/>
        <w:pageBreakBefore w:val="0"/>
        <w:numPr>
          <w:ilvl w:val="0"/>
          <w:numId w:val="1"/>
        </w:numPr>
        <w:kinsoku/>
        <w:wordWrap/>
        <w:overflowPunct/>
        <w:topLinePunct w:val="0"/>
        <w:autoSpaceDE/>
        <w:autoSpaceDN/>
        <w:bidi w:val="0"/>
        <w:adjustRightInd/>
        <w:snapToGrid/>
        <w:ind w:left="0" w:firstLine="640" w:firstLineChars="200"/>
        <w:rPr>
          <w:rFonts w:ascii="仿宋_GB2312" w:eastAsia="仿宋_GB2312"/>
          <w:sz w:val="32"/>
          <w:szCs w:val="32"/>
        </w:rPr>
      </w:pPr>
      <w:r>
        <w:rPr>
          <w:rFonts w:hint="eastAsia" w:ascii="仿宋_GB2312" w:hAnsi="仿宋" w:eastAsia="仿宋_GB2312" w:cs="宋体"/>
          <w:kern w:val="0"/>
          <w:sz w:val="32"/>
          <w:szCs w:val="32"/>
        </w:rPr>
        <w:t>为了加强农作物秸秆露天禁烧和综合利用工作，保护和改善生态环境，防治大气污染，保障公众健康，维护公共安全</w:t>
      </w:r>
      <w:r>
        <w:rPr>
          <w:rFonts w:hint="eastAsia" w:ascii="仿宋_GB2312" w:hAnsi="仿宋" w:eastAsia="仿宋_GB2312" w:cs="黑体"/>
          <w:kern w:val="0"/>
          <w:sz w:val="32"/>
          <w:szCs w:val="32"/>
        </w:rPr>
        <w:t>，</w:t>
      </w:r>
      <w:r>
        <w:rPr>
          <w:rFonts w:hint="eastAsia" w:ascii="仿宋_GB2312" w:hAnsi="黑体" w:eastAsia="仿宋_GB2312" w:cs="宋体"/>
          <w:kern w:val="0"/>
          <w:sz w:val="32"/>
          <w:szCs w:val="32"/>
        </w:rPr>
        <w:t>促进黑土地保护，推进</w:t>
      </w:r>
      <w:r>
        <w:rPr>
          <w:rFonts w:hint="eastAsia" w:ascii="仿宋_GB2312" w:hAnsi="黑体" w:eastAsia="仿宋_GB2312"/>
          <w:sz w:val="32"/>
          <w:szCs w:val="32"/>
        </w:rPr>
        <w:t>碳达峰碳中和行动</w:t>
      </w:r>
      <w:r>
        <w:rPr>
          <w:rFonts w:hint="eastAsia" w:ascii="仿宋_GB2312" w:hAnsi="仿宋" w:eastAsia="仿宋_GB2312" w:cs="仿宋"/>
          <w:sz w:val="32"/>
          <w:szCs w:val="32"/>
        </w:rPr>
        <w:t>，</w:t>
      </w:r>
      <w:r>
        <w:rPr>
          <w:rFonts w:hint="eastAsia" w:ascii="仿宋_GB2312" w:hAnsi="仿宋" w:eastAsia="仿宋_GB2312" w:cs="宋体"/>
          <w:kern w:val="0"/>
          <w:sz w:val="32"/>
          <w:szCs w:val="32"/>
        </w:rPr>
        <w:t>根据有关法律法规，结合本市实际，制定本条例。</w:t>
      </w:r>
    </w:p>
    <w:p>
      <w:pPr>
        <w:pStyle w:val="14"/>
        <w:keepNext w:val="0"/>
        <w:keepLines w:val="0"/>
        <w:pageBreakBefore w:val="0"/>
        <w:numPr>
          <w:ilvl w:val="0"/>
          <w:numId w:val="1"/>
        </w:numPr>
        <w:kinsoku/>
        <w:wordWrap/>
        <w:overflowPunct/>
        <w:topLinePunct w:val="0"/>
        <w:autoSpaceDE/>
        <w:autoSpaceDN/>
        <w:bidi w:val="0"/>
        <w:adjustRightInd/>
        <w:snapToGrid/>
        <w:ind w:left="0" w:firstLine="640" w:firstLineChars="200"/>
        <w:rPr>
          <w:rFonts w:ascii="仿宋_GB2312" w:eastAsia="仿宋_GB2312"/>
          <w:sz w:val="32"/>
          <w:szCs w:val="32"/>
        </w:rPr>
      </w:pPr>
      <w:r>
        <w:rPr>
          <w:rFonts w:hint="eastAsia" w:ascii="仿宋_GB2312" w:hAnsi="仿宋" w:eastAsia="仿宋_GB2312" w:cs="宋体"/>
          <w:kern w:val="0"/>
          <w:sz w:val="32"/>
          <w:szCs w:val="32"/>
        </w:rPr>
        <w:t>本市行政区域内农作物秸秆露天禁烧、综合利用及其相关管理活动，适用本条例。</w:t>
      </w:r>
    </w:p>
    <w:p>
      <w:pPr>
        <w:pStyle w:val="14"/>
        <w:keepNext w:val="0"/>
        <w:keepLines w:val="0"/>
        <w:pageBreakBefore w:val="0"/>
        <w:numPr>
          <w:ilvl w:val="0"/>
          <w:numId w:val="1"/>
        </w:numPr>
        <w:kinsoku/>
        <w:wordWrap/>
        <w:overflowPunct/>
        <w:topLinePunct w:val="0"/>
        <w:autoSpaceDE/>
        <w:autoSpaceDN/>
        <w:bidi w:val="0"/>
        <w:adjustRightInd/>
        <w:snapToGrid/>
        <w:ind w:left="0" w:firstLine="640" w:firstLineChars="200"/>
        <w:rPr>
          <w:rFonts w:ascii="仿宋_GB2312" w:eastAsia="仿宋_GB2312"/>
          <w:sz w:val="32"/>
          <w:szCs w:val="32"/>
        </w:rPr>
      </w:pPr>
      <w:r>
        <w:rPr>
          <w:rFonts w:hint="eastAsia" w:ascii="仿宋_GB2312" w:hAnsi="仿宋" w:eastAsia="仿宋_GB2312" w:cs="宋体"/>
          <w:kern w:val="0"/>
          <w:sz w:val="32"/>
          <w:szCs w:val="32"/>
        </w:rPr>
        <w:t>本条例所称农作物秸秆（以下简称秸秆），是指玉米、稻谷、高粱、豆类、薯类、油料等农作物在收获籽实后的剩余部分，玉米穗轴、稻壳、花生壳视同秸秆。</w:t>
      </w:r>
    </w:p>
    <w:p>
      <w:pPr>
        <w:pStyle w:val="14"/>
        <w:keepNext w:val="0"/>
        <w:keepLines w:val="0"/>
        <w:pageBreakBefore w:val="0"/>
        <w:kinsoku/>
        <w:wordWrap/>
        <w:overflowPunct/>
        <w:topLinePunct w:val="0"/>
        <w:autoSpaceDE/>
        <w:autoSpaceDN/>
        <w:bidi w:val="0"/>
        <w:adjustRightInd/>
        <w:snapToGrid/>
        <w:ind w:firstLine="640" w:firstLineChars="200"/>
        <w:rPr>
          <w:rFonts w:ascii="仿宋_GB2312" w:hAnsi="仿宋" w:eastAsia="仿宋_GB2312" w:cs="Arial"/>
          <w:kern w:val="0"/>
          <w:sz w:val="32"/>
          <w:szCs w:val="32"/>
        </w:rPr>
      </w:pPr>
      <w:r>
        <w:rPr>
          <w:rFonts w:hint="eastAsia" w:ascii="黑体" w:hAnsi="黑体" w:eastAsia="黑体" w:cs="黑体"/>
          <w:bCs/>
          <w:kern w:val="0"/>
          <w:sz w:val="32"/>
          <w:szCs w:val="32"/>
        </w:rPr>
        <w:t>第四条</w:t>
      </w:r>
      <w:bookmarkStart w:id="0" w:name="tiao_5_kuan_1"/>
      <w:bookmarkEnd w:id="0"/>
      <w:r>
        <w:rPr>
          <w:rFonts w:hint="eastAsia" w:ascii="仿宋" w:hAnsi="仿宋" w:eastAsia="仿宋" w:cs="Arial"/>
          <w:bCs/>
          <w:kern w:val="0"/>
          <w:sz w:val="32"/>
          <w:szCs w:val="32"/>
        </w:rPr>
        <w:t xml:space="preserve"> </w:t>
      </w:r>
      <w:r>
        <w:rPr>
          <w:rFonts w:ascii="仿宋" w:hAnsi="仿宋" w:eastAsia="仿宋" w:cs="Arial"/>
          <w:b/>
          <w:bCs/>
          <w:kern w:val="0"/>
          <w:sz w:val="32"/>
          <w:szCs w:val="32"/>
        </w:rPr>
        <w:t xml:space="preserve"> </w:t>
      </w:r>
      <w:r>
        <w:rPr>
          <w:rFonts w:hint="eastAsia" w:ascii="仿宋_GB2312" w:hAnsi="仿宋" w:eastAsia="仿宋_GB2312" w:cs="宋体"/>
          <w:kern w:val="0"/>
          <w:sz w:val="32"/>
          <w:szCs w:val="32"/>
        </w:rPr>
        <w:t>秸秆露天禁烧和综合利用工作坚持政府推动、市场主导、规划引领、因地制宜、政策扶持的原则</w:t>
      </w:r>
      <w:r>
        <w:rPr>
          <w:rFonts w:hint="eastAsia" w:ascii="仿宋_GB2312" w:hAnsi="仿宋" w:eastAsia="仿宋_GB2312" w:cs="Arial"/>
          <w:kern w:val="0"/>
          <w:sz w:val="32"/>
          <w:szCs w:val="32"/>
        </w:rPr>
        <w:t>。</w:t>
      </w:r>
    </w:p>
    <w:p>
      <w:pPr>
        <w:keepNext w:val="0"/>
        <w:keepLines w:val="0"/>
        <w:pageBreakBefore w:val="0"/>
        <w:widowControl/>
        <w:kinsoku/>
        <w:wordWrap/>
        <w:overflowPunct/>
        <w:topLinePunct w:val="0"/>
        <w:autoSpaceDE/>
        <w:autoSpaceDN/>
        <w:bidi w:val="0"/>
        <w:adjustRightInd/>
        <w:snapToGrid/>
        <w:spacing w:line="640" w:lineRule="exact"/>
        <w:ind w:firstLine="640" w:firstLineChars="200"/>
        <w:rPr>
          <w:rFonts w:ascii="仿宋_GB2312" w:hAnsi="黑体" w:eastAsia="仿宋_GB2312" w:cs="宋体"/>
          <w:kern w:val="0"/>
          <w:sz w:val="32"/>
          <w:szCs w:val="32"/>
        </w:rPr>
      </w:pPr>
      <w:r>
        <w:rPr>
          <w:rFonts w:hint="eastAsia" w:ascii="黑体" w:hAnsi="黑体" w:eastAsia="黑体" w:cs="黑体"/>
          <w:bCs/>
          <w:kern w:val="0"/>
          <w:sz w:val="32"/>
          <w:szCs w:val="32"/>
        </w:rPr>
        <w:t>第五条</w:t>
      </w:r>
      <w:bookmarkStart w:id="1" w:name="tiao_4_kuan_1"/>
      <w:bookmarkEnd w:id="1"/>
      <w:r>
        <w:rPr>
          <w:rFonts w:hint="eastAsia" w:ascii="黑体" w:hAnsi="黑体" w:eastAsia="黑体" w:cs="黑体"/>
          <w:bCs/>
          <w:kern w:val="0"/>
          <w:sz w:val="32"/>
          <w:szCs w:val="32"/>
        </w:rPr>
        <w:t xml:space="preserve">  </w:t>
      </w:r>
      <w:r>
        <w:rPr>
          <w:rFonts w:hint="eastAsia" w:ascii="仿宋_GB2312" w:hAnsi="黑体" w:eastAsia="仿宋_GB2312" w:cs="宋体"/>
          <w:kern w:val="0"/>
          <w:sz w:val="32"/>
          <w:szCs w:val="32"/>
        </w:rPr>
        <w:t>市、县（市）区人民政府是秸秆露天禁烧和综合利用工作的责任主体，负责本行政区域内秸秆露天禁烧和综合利用工作。</w:t>
      </w:r>
    </w:p>
    <w:p>
      <w:pPr>
        <w:keepNext w:val="0"/>
        <w:keepLines w:val="0"/>
        <w:pageBreakBefore w:val="0"/>
        <w:widowControl/>
        <w:kinsoku/>
        <w:wordWrap/>
        <w:overflowPunct/>
        <w:topLinePunct w:val="0"/>
        <w:autoSpaceDE/>
        <w:autoSpaceDN/>
        <w:bidi w:val="0"/>
        <w:adjustRightInd/>
        <w:snapToGrid/>
        <w:spacing w:line="640" w:lineRule="exact"/>
        <w:ind w:firstLine="640" w:firstLineChars="200"/>
        <w:rPr>
          <w:rFonts w:ascii="仿宋_GB2312" w:hAnsi="黑体" w:eastAsia="仿宋_GB2312" w:cs="宋体"/>
          <w:kern w:val="0"/>
          <w:sz w:val="32"/>
          <w:szCs w:val="32"/>
        </w:rPr>
      </w:pPr>
      <w:r>
        <w:rPr>
          <w:rFonts w:hint="eastAsia" w:ascii="仿宋_GB2312" w:hAnsi="黑体" w:eastAsia="仿宋_GB2312" w:cs="宋体"/>
          <w:kern w:val="0"/>
          <w:sz w:val="32"/>
          <w:szCs w:val="32"/>
        </w:rPr>
        <w:t>市、县（市）区人民政府应当建立秸秆露天禁烧</w:t>
      </w:r>
      <w:r>
        <w:rPr>
          <w:rFonts w:hint="eastAsia" w:ascii="仿宋_GB2312" w:hAnsi="黑体" w:eastAsia="仿宋_GB2312" w:cs="仿宋_GB2312"/>
          <w:sz w:val="32"/>
          <w:szCs w:val="32"/>
        </w:rPr>
        <w:t>、秸秆离田</w:t>
      </w:r>
      <w:r>
        <w:rPr>
          <w:rFonts w:hint="eastAsia" w:ascii="仿宋_GB2312" w:hAnsi="黑体" w:eastAsia="仿宋_GB2312" w:cs="宋体"/>
          <w:kern w:val="0"/>
          <w:sz w:val="32"/>
          <w:szCs w:val="32"/>
        </w:rPr>
        <w:t>和综合利用工作目标责任制，制定考核制度，逐级签订责任书，明确目标任务，强化责任落实。</w:t>
      </w:r>
    </w:p>
    <w:p>
      <w:pPr>
        <w:keepNext w:val="0"/>
        <w:keepLines w:val="0"/>
        <w:pageBreakBefore w:val="0"/>
        <w:kinsoku/>
        <w:wordWrap/>
        <w:overflowPunct/>
        <w:topLinePunct w:val="0"/>
        <w:autoSpaceDE/>
        <w:autoSpaceDN/>
        <w:bidi w:val="0"/>
        <w:adjustRightInd/>
        <w:snapToGrid/>
        <w:ind w:firstLine="640" w:firstLineChars="200"/>
        <w:rPr>
          <w:rFonts w:ascii="仿宋_GB2312" w:eastAsia="仿宋_GB2312"/>
        </w:rPr>
      </w:pPr>
      <w:r>
        <w:rPr>
          <w:rFonts w:hint="eastAsia" w:ascii="仿宋_GB2312" w:hAnsi="黑体" w:eastAsia="仿宋_GB2312" w:cs="宋体"/>
          <w:kern w:val="0"/>
          <w:sz w:val="32"/>
          <w:szCs w:val="32"/>
        </w:rPr>
        <w:t>乡（镇）人民政府、街道办事处负责秸秆露天禁烧</w:t>
      </w:r>
      <w:r>
        <w:rPr>
          <w:rFonts w:hint="eastAsia" w:ascii="仿宋_GB2312" w:hAnsi="黑体" w:eastAsia="仿宋_GB2312" w:cs="仿宋_GB2312"/>
          <w:sz w:val="32"/>
          <w:szCs w:val="32"/>
        </w:rPr>
        <w:t>管控、</w:t>
      </w:r>
      <w:r>
        <w:rPr>
          <w:rFonts w:hint="eastAsia" w:ascii="仿宋_GB2312" w:hAnsi="黑体" w:eastAsia="仿宋_GB2312" w:cs="宋体"/>
          <w:kern w:val="0"/>
          <w:sz w:val="32"/>
          <w:szCs w:val="32"/>
        </w:rPr>
        <w:t>秸秆</w:t>
      </w:r>
      <w:r>
        <w:rPr>
          <w:rFonts w:hint="eastAsia" w:ascii="仿宋_GB2312" w:hAnsi="黑体" w:eastAsia="仿宋_GB2312" w:cs="仿宋_GB2312"/>
          <w:sz w:val="32"/>
          <w:szCs w:val="32"/>
        </w:rPr>
        <w:t>离田</w:t>
      </w:r>
      <w:r>
        <w:rPr>
          <w:rFonts w:hint="eastAsia" w:ascii="仿宋_GB2312" w:hAnsi="黑体" w:eastAsia="仿宋_GB2312" w:cs="宋体"/>
          <w:kern w:val="0"/>
          <w:sz w:val="32"/>
          <w:szCs w:val="32"/>
        </w:rPr>
        <w:t>、秸秆综合利用和</w:t>
      </w:r>
      <w:r>
        <w:rPr>
          <w:rFonts w:hint="eastAsia" w:ascii="仿宋_GB2312" w:hAnsi="黑体" w:eastAsia="仿宋_GB2312" w:cs="仿宋_GB2312"/>
          <w:sz w:val="32"/>
          <w:szCs w:val="32"/>
        </w:rPr>
        <w:t>全量化处置</w:t>
      </w:r>
      <w:r>
        <w:rPr>
          <w:rFonts w:hint="eastAsia" w:ascii="仿宋_GB2312" w:hAnsi="黑体" w:eastAsia="仿宋_GB2312" w:cs="宋体"/>
          <w:kern w:val="0"/>
          <w:sz w:val="32"/>
          <w:szCs w:val="32"/>
        </w:rPr>
        <w:t>的组织实施工作。</w:t>
      </w:r>
    </w:p>
    <w:p>
      <w:pPr>
        <w:keepNext w:val="0"/>
        <w:keepLines w:val="0"/>
        <w:pageBreakBefore w:val="0"/>
        <w:widowControl/>
        <w:shd w:val="clear" w:color="auto" w:fill="FFFFFF"/>
        <w:kinsoku/>
        <w:wordWrap/>
        <w:overflowPunct/>
        <w:topLinePunct w:val="0"/>
        <w:autoSpaceDE/>
        <w:autoSpaceDN/>
        <w:bidi w:val="0"/>
        <w:adjustRightInd/>
        <w:snapToGrid/>
        <w:spacing w:line="640" w:lineRule="exact"/>
        <w:ind w:firstLine="640" w:firstLineChars="200"/>
        <w:textAlignment w:val="baseline"/>
        <w:rPr>
          <w:rFonts w:ascii="仿宋" w:hAnsi="仿宋" w:eastAsia="仿宋" w:cs="宋体"/>
          <w:kern w:val="0"/>
          <w:sz w:val="32"/>
          <w:szCs w:val="32"/>
        </w:rPr>
      </w:pPr>
      <w:r>
        <w:rPr>
          <w:rFonts w:hint="eastAsia" w:ascii="黑体" w:hAnsi="黑体" w:eastAsia="黑体" w:cs="黑体"/>
          <w:bCs/>
          <w:kern w:val="0"/>
          <w:sz w:val="32"/>
          <w:szCs w:val="32"/>
        </w:rPr>
        <w:t>第六条</w:t>
      </w:r>
      <w:bookmarkStart w:id="2" w:name="tiao_6_kuan_1"/>
      <w:bookmarkEnd w:id="2"/>
      <w:r>
        <w:rPr>
          <w:rFonts w:hint="eastAsia" w:ascii="仿宋" w:hAnsi="仿宋" w:eastAsia="仿宋" w:cs="Arial"/>
          <w:bCs/>
          <w:kern w:val="0"/>
          <w:sz w:val="32"/>
          <w:szCs w:val="32"/>
        </w:rPr>
        <w:t xml:space="preserve"> </w:t>
      </w:r>
      <w:r>
        <w:rPr>
          <w:rFonts w:hint="eastAsia" w:ascii="仿宋_GB2312" w:hAnsi="仿宋" w:eastAsia="仿宋_GB2312" w:cs="Arial"/>
          <w:b/>
          <w:bCs/>
          <w:kern w:val="0"/>
          <w:sz w:val="32"/>
          <w:szCs w:val="32"/>
        </w:rPr>
        <w:t xml:space="preserve"> </w:t>
      </w:r>
      <w:r>
        <w:rPr>
          <w:rFonts w:hint="eastAsia" w:ascii="仿宋_GB2312" w:hAnsi="仿宋" w:eastAsia="仿宋_GB2312" w:cs="宋体"/>
          <w:kern w:val="0"/>
          <w:sz w:val="32"/>
          <w:szCs w:val="32"/>
        </w:rPr>
        <w:t>市、县（市）区人民政府应当组织生态环境、发展和改革、农业农村、工业和信息化、财政、公安、畜牧、林业和园林、气象、科技等部门建立秸秆露天禁烧和综合利用工作协调机制，协调解决秸秆露天禁烧和综合利用重大事项。</w:t>
      </w:r>
    </w:p>
    <w:p>
      <w:pPr>
        <w:keepNext w:val="0"/>
        <w:keepLines w:val="0"/>
        <w:pageBreakBefore w:val="0"/>
        <w:widowControl/>
        <w:shd w:val="clear" w:color="auto" w:fill="FFFFFF"/>
        <w:kinsoku/>
        <w:wordWrap/>
        <w:overflowPunct/>
        <w:topLinePunct w:val="0"/>
        <w:autoSpaceDE/>
        <w:autoSpaceDN/>
        <w:bidi w:val="0"/>
        <w:adjustRightInd/>
        <w:snapToGrid/>
        <w:ind w:firstLine="640" w:firstLineChars="200"/>
        <w:textAlignment w:val="baseline"/>
        <w:rPr>
          <w:rFonts w:ascii="仿宋_GB2312" w:hAnsi="仿宋" w:eastAsia="仿宋_GB2312" w:cs="仿宋"/>
          <w:kern w:val="0"/>
          <w:sz w:val="32"/>
          <w:szCs w:val="32"/>
        </w:rPr>
      </w:pPr>
      <w:r>
        <w:rPr>
          <w:rFonts w:hint="eastAsia" w:ascii="黑体" w:hAnsi="黑体" w:eastAsia="黑体" w:cs="黑体"/>
          <w:kern w:val="0"/>
          <w:sz w:val="32"/>
          <w:szCs w:val="32"/>
        </w:rPr>
        <w:t xml:space="preserve">第七条 </w:t>
      </w:r>
      <w:r>
        <w:rPr>
          <w:rFonts w:hint="eastAsia" w:ascii="仿宋_GB2312" w:hAnsi="黑体" w:eastAsia="仿宋_GB2312" w:cs="黑体"/>
          <w:b/>
          <w:kern w:val="0"/>
          <w:sz w:val="32"/>
          <w:szCs w:val="32"/>
        </w:rPr>
        <w:t xml:space="preserve"> </w:t>
      </w:r>
      <w:r>
        <w:rPr>
          <w:rFonts w:hint="eastAsia" w:ascii="仿宋_GB2312" w:hAnsi="仿宋" w:eastAsia="仿宋_GB2312" w:cs="仿宋"/>
          <w:kern w:val="0"/>
          <w:sz w:val="32"/>
          <w:szCs w:val="32"/>
        </w:rPr>
        <w:t>市、县（市）区人民政府有关部门应当按照各自职责，相互配合，共同做好秸秆露天禁烧和综合利用工作。</w:t>
      </w:r>
    </w:p>
    <w:p>
      <w:pPr>
        <w:keepNext w:val="0"/>
        <w:keepLines w:val="0"/>
        <w:pageBreakBefore w:val="0"/>
        <w:widowControl/>
        <w:shd w:val="clear" w:color="auto" w:fill="FFFFFF"/>
        <w:kinsoku/>
        <w:wordWrap/>
        <w:overflowPunct/>
        <w:topLinePunct w:val="0"/>
        <w:autoSpaceDE/>
        <w:autoSpaceDN/>
        <w:bidi w:val="0"/>
        <w:adjustRightInd/>
        <w:snapToGrid/>
        <w:ind w:firstLine="640" w:firstLineChars="200"/>
        <w:textAlignment w:val="baseline"/>
        <w:rPr>
          <w:rFonts w:ascii="仿宋_GB2312" w:hAnsi="黑体" w:eastAsia="仿宋_GB2312" w:cs="仿宋"/>
          <w:kern w:val="0"/>
          <w:sz w:val="32"/>
          <w:szCs w:val="32"/>
        </w:rPr>
      </w:pPr>
      <w:r>
        <w:rPr>
          <w:rFonts w:hint="eastAsia" w:ascii="仿宋_GB2312" w:hAnsi="仿宋" w:eastAsia="仿宋_GB2312" w:cs="仿宋"/>
          <w:kern w:val="0"/>
          <w:sz w:val="32"/>
          <w:szCs w:val="32"/>
        </w:rPr>
        <w:t>生态环境主管部门负责本行政区域内秸秆露天禁烧的监督指导工作。</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仿宋_GB2312" w:hAnsi="仿宋" w:eastAsia="仿宋_GB2312" w:cs="宋体"/>
          <w:kern w:val="0"/>
          <w:sz w:val="32"/>
          <w:szCs w:val="32"/>
        </w:rPr>
        <w:t>发展和改革主管部门负责秸秆能源化利用相关工作。</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仿宋_GB2312" w:hAnsi="仿宋" w:eastAsia="仿宋_GB2312" w:cs="宋体"/>
          <w:kern w:val="0"/>
          <w:sz w:val="32"/>
          <w:szCs w:val="32"/>
        </w:rPr>
        <w:t>农业农村主管部门负责</w:t>
      </w:r>
      <w:r>
        <w:rPr>
          <w:rFonts w:hint="eastAsia" w:ascii="仿宋_GB2312" w:hAnsi="黑体" w:eastAsia="仿宋_GB2312" w:cs="黑体"/>
          <w:kern w:val="0"/>
          <w:sz w:val="32"/>
          <w:szCs w:val="32"/>
        </w:rPr>
        <w:t>组织编制秸秆综合利用实施方案，统筹协调秸秆综合利用重点项目建设,</w:t>
      </w:r>
      <w:r>
        <w:rPr>
          <w:rFonts w:hint="eastAsia" w:ascii="仿宋_GB2312" w:hAnsi="仿宋" w:eastAsia="仿宋_GB2312" w:cs="宋体"/>
          <w:kern w:val="0"/>
          <w:sz w:val="32"/>
          <w:szCs w:val="32"/>
        </w:rPr>
        <w:t>秸秆</w:t>
      </w:r>
      <w:r>
        <w:rPr>
          <w:rFonts w:hint="eastAsia" w:ascii="仿宋_GB2312" w:hAnsi="黑体" w:eastAsia="仿宋_GB2312" w:cs="黑体"/>
          <w:kern w:val="0"/>
          <w:sz w:val="32"/>
          <w:szCs w:val="32"/>
        </w:rPr>
        <w:t>离田、</w:t>
      </w:r>
      <w:r>
        <w:rPr>
          <w:rFonts w:hint="eastAsia" w:ascii="仿宋_GB2312" w:hAnsi="仿宋" w:eastAsia="仿宋_GB2312" w:cs="宋体"/>
          <w:kern w:val="0"/>
          <w:sz w:val="32"/>
          <w:szCs w:val="32"/>
        </w:rPr>
        <w:t>收集、储存、运输体系建设及肥料化、基料化相关工作。</w:t>
      </w:r>
    </w:p>
    <w:p>
      <w:pPr>
        <w:keepNext w:val="0"/>
        <w:keepLines w:val="0"/>
        <w:pageBreakBefore w:val="0"/>
        <w:widowControl/>
        <w:shd w:val="clear" w:color="auto" w:fill="FFFFFF"/>
        <w:kinsoku/>
        <w:wordWrap/>
        <w:overflowPunct/>
        <w:topLinePunct w:val="0"/>
        <w:autoSpaceDE/>
        <w:autoSpaceDN/>
        <w:bidi w:val="0"/>
        <w:adjustRightInd/>
        <w:snapToGrid/>
        <w:ind w:firstLine="640" w:firstLineChars="200"/>
        <w:textAlignment w:val="baseline"/>
        <w:rPr>
          <w:rFonts w:ascii="仿宋_GB2312" w:eastAsia="仿宋_GB2312"/>
        </w:rPr>
      </w:pPr>
      <w:r>
        <w:rPr>
          <w:rFonts w:hint="eastAsia" w:ascii="仿宋_GB2312" w:hAnsi="仿宋" w:eastAsia="仿宋_GB2312" w:cs="仿宋"/>
          <w:kern w:val="0"/>
          <w:sz w:val="32"/>
          <w:szCs w:val="32"/>
        </w:rPr>
        <w:t>工业和信息化主管部门负责秸秆原料化利用相关工作。</w:t>
      </w:r>
    </w:p>
    <w:p>
      <w:pPr>
        <w:keepNext w:val="0"/>
        <w:keepLines w:val="0"/>
        <w:pageBreakBefore w:val="0"/>
        <w:widowControl/>
        <w:shd w:val="clear" w:color="auto" w:fill="FFFFFF"/>
        <w:kinsoku/>
        <w:wordWrap/>
        <w:overflowPunct/>
        <w:topLinePunct w:val="0"/>
        <w:autoSpaceDE/>
        <w:autoSpaceDN/>
        <w:bidi w:val="0"/>
        <w:adjustRightInd/>
        <w:snapToGrid/>
        <w:ind w:firstLine="640" w:firstLineChars="200"/>
        <w:textAlignment w:val="baseline"/>
        <w:rPr>
          <w:rFonts w:ascii="仿宋_GB2312" w:hAnsi="仿宋" w:eastAsia="仿宋_GB2312" w:cs="仿宋"/>
          <w:kern w:val="0"/>
          <w:sz w:val="32"/>
          <w:szCs w:val="32"/>
        </w:rPr>
      </w:pPr>
      <w:r>
        <w:rPr>
          <w:rFonts w:hint="eastAsia" w:ascii="仿宋_GB2312" w:hAnsi="仿宋" w:eastAsia="仿宋_GB2312" w:cs="仿宋"/>
          <w:kern w:val="0"/>
          <w:sz w:val="32"/>
          <w:szCs w:val="32"/>
        </w:rPr>
        <w:t>财政主管部门负责秸秆露天禁烧和综合利用的财政政策制定和资金保障。</w:t>
      </w:r>
    </w:p>
    <w:p>
      <w:pPr>
        <w:keepNext w:val="0"/>
        <w:keepLines w:val="0"/>
        <w:pageBreakBefore w:val="0"/>
        <w:widowControl/>
        <w:shd w:val="clear" w:color="auto" w:fill="FFFFFF"/>
        <w:kinsoku/>
        <w:wordWrap/>
        <w:overflowPunct/>
        <w:topLinePunct w:val="0"/>
        <w:autoSpaceDE/>
        <w:autoSpaceDN/>
        <w:bidi w:val="0"/>
        <w:adjustRightInd/>
        <w:snapToGrid/>
        <w:ind w:firstLine="640" w:firstLineChars="200"/>
        <w:textAlignment w:val="baseline"/>
        <w:rPr>
          <w:rFonts w:ascii="仿宋_GB2312" w:hAnsi="仿宋" w:eastAsia="仿宋_GB2312" w:cs="仿宋"/>
          <w:kern w:val="0"/>
          <w:sz w:val="32"/>
          <w:szCs w:val="32"/>
        </w:rPr>
      </w:pPr>
      <w:r>
        <w:rPr>
          <w:rFonts w:hint="eastAsia" w:ascii="仿宋_GB2312" w:hAnsi="仿宋" w:eastAsia="仿宋_GB2312" w:cs="仿宋"/>
          <w:kern w:val="0"/>
          <w:sz w:val="32"/>
          <w:szCs w:val="32"/>
        </w:rPr>
        <w:t>公安机关负责对露天焚烧秸秆人员违反治安管理法律规定行为的处罚。</w:t>
      </w:r>
    </w:p>
    <w:p>
      <w:pPr>
        <w:keepNext w:val="0"/>
        <w:keepLines w:val="0"/>
        <w:pageBreakBefore w:val="0"/>
        <w:widowControl/>
        <w:shd w:val="clear" w:color="auto" w:fill="FFFFFF"/>
        <w:kinsoku/>
        <w:wordWrap/>
        <w:overflowPunct/>
        <w:topLinePunct w:val="0"/>
        <w:autoSpaceDE/>
        <w:autoSpaceDN/>
        <w:bidi w:val="0"/>
        <w:adjustRightInd/>
        <w:snapToGrid/>
        <w:ind w:firstLine="640" w:firstLineChars="200"/>
        <w:textAlignment w:val="baseline"/>
        <w:rPr>
          <w:rFonts w:ascii="仿宋_GB2312" w:hAnsi="仿宋" w:eastAsia="仿宋_GB2312" w:cs="仿宋"/>
          <w:kern w:val="0"/>
          <w:sz w:val="32"/>
          <w:szCs w:val="32"/>
        </w:rPr>
      </w:pPr>
      <w:r>
        <w:rPr>
          <w:rFonts w:hint="eastAsia" w:ascii="仿宋_GB2312" w:hAnsi="仿宋" w:eastAsia="仿宋_GB2312" w:cs="仿宋"/>
          <w:kern w:val="0"/>
          <w:sz w:val="32"/>
          <w:szCs w:val="32"/>
        </w:rPr>
        <w:t>畜牧主管部门负责秸秆饲料化利用相关工作。</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仿宋_GB2312" w:hAnsi="仿宋" w:eastAsia="仿宋_GB2312" w:cs="宋体"/>
          <w:kern w:val="0"/>
          <w:sz w:val="32"/>
          <w:szCs w:val="32"/>
        </w:rPr>
        <w:t>林业和园林主管部门负责森林防火区域内秸秆露天禁烧的监督</w:t>
      </w:r>
      <w:r>
        <w:rPr>
          <w:rFonts w:hint="eastAsia" w:ascii="仿宋_GB2312" w:hAnsi="黑体" w:eastAsia="仿宋_GB2312" w:cs="黑体"/>
          <w:kern w:val="0"/>
          <w:sz w:val="32"/>
          <w:szCs w:val="32"/>
        </w:rPr>
        <w:t>指导</w:t>
      </w:r>
      <w:r>
        <w:rPr>
          <w:rFonts w:hint="eastAsia" w:ascii="仿宋_GB2312" w:hAnsi="仿宋" w:eastAsia="仿宋_GB2312" w:cs="宋体"/>
          <w:kern w:val="0"/>
          <w:sz w:val="32"/>
          <w:szCs w:val="32"/>
        </w:rPr>
        <w:t>工作。</w:t>
      </w:r>
    </w:p>
    <w:p>
      <w:pPr>
        <w:keepNext w:val="0"/>
        <w:keepLines w:val="0"/>
        <w:pageBreakBefore w:val="0"/>
        <w:widowControl/>
        <w:shd w:val="clear" w:color="auto" w:fill="FFFFFF"/>
        <w:kinsoku/>
        <w:wordWrap/>
        <w:overflowPunct/>
        <w:topLinePunct w:val="0"/>
        <w:autoSpaceDE/>
        <w:autoSpaceDN/>
        <w:bidi w:val="0"/>
        <w:adjustRightInd/>
        <w:snapToGrid/>
        <w:ind w:firstLine="640" w:firstLineChars="200"/>
        <w:textAlignment w:val="baseline"/>
        <w:rPr>
          <w:rFonts w:ascii="仿宋_GB2312" w:hAnsi="仿宋" w:eastAsia="仿宋_GB2312" w:cs="仿宋"/>
          <w:kern w:val="0"/>
          <w:sz w:val="32"/>
          <w:szCs w:val="32"/>
        </w:rPr>
      </w:pPr>
      <w:r>
        <w:rPr>
          <w:rFonts w:hint="eastAsia" w:ascii="仿宋_GB2312" w:hAnsi="仿宋" w:eastAsia="仿宋_GB2312" w:cs="仿宋"/>
          <w:kern w:val="0"/>
          <w:sz w:val="32"/>
          <w:szCs w:val="32"/>
        </w:rPr>
        <w:t>其他有关部门应当按照各自职责，做好秸秆露天禁烧和综合利用相关工作。</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第八条</w:t>
      </w:r>
      <w:bookmarkStart w:id="3" w:name="tiao_8_kuan_1"/>
      <w:bookmarkEnd w:id="3"/>
      <w:r>
        <w:rPr>
          <w:rFonts w:hint="eastAsia" w:ascii="黑体" w:hAnsi="黑体" w:eastAsia="黑体" w:cs="黑体"/>
          <w:b/>
          <w:bCs/>
          <w:kern w:val="0"/>
          <w:sz w:val="32"/>
          <w:szCs w:val="32"/>
        </w:rPr>
        <w:t xml:space="preserve"> </w:t>
      </w:r>
      <w:r>
        <w:rPr>
          <w:rFonts w:hint="eastAsia" w:ascii="仿宋" w:hAnsi="仿宋" w:eastAsia="仿宋" w:cs="Arial"/>
          <w:b/>
          <w:bCs/>
          <w:kern w:val="0"/>
          <w:sz w:val="32"/>
          <w:szCs w:val="32"/>
        </w:rPr>
        <w:t xml:space="preserve"> </w:t>
      </w:r>
      <w:r>
        <w:rPr>
          <w:rFonts w:hint="eastAsia" w:ascii="仿宋" w:hAnsi="仿宋" w:eastAsia="仿宋" w:cs="宋体"/>
          <w:kern w:val="0"/>
          <w:sz w:val="32"/>
          <w:szCs w:val="32"/>
        </w:rPr>
        <w:t>市、县（市）区人民政府及其有关部门、乡（镇）人民政府、街道办事处应当采取多种形式加强秸秆露天禁烧和综合利用等方面宣传工作。</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第九条</w:t>
      </w:r>
      <w:bookmarkStart w:id="4" w:name="tiao_9_kuan_1"/>
      <w:bookmarkEnd w:id="4"/>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市、县（市）区人民政府应当将秸秆露天禁烧和综合利用工作所需经费纳入本级财政预算。发挥财政资金的引导作用，鼓励社会资本加大对秸秆露天禁烧和综合利用的投入。</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第十条</w:t>
      </w:r>
      <w:bookmarkStart w:id="5" w:name="tiao_10_kuan_1"/>
      <w:bookmarkEnd w:id="5"/>
      <w:r>
        <w:rPr>
          <w:rFonts w:hint="eastAsia" w:ascii="仿宋" w:hAnsi="仿宋" w:eastAsia="仿宋" w:cs="Arial"/>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市、县（市）区人民政府对在秸秆露天禁烧工作中表现突出、有显著成绩的单位和个人，应当按照有关规定给予奖励。</w:t>
      </w:r>
    </w:p>
    <w:p>
      <w:pPr>
        <w:pStyle w:val="14"/>
        <w:keepNext w:val="0"/>
        <w:keepLines w:val="0"/>
        <w:pageBreakBefore w:val="0"/>
        <w:kinsoku/>
        <w:wordWrap/>
        <w:overflowPunct/>
        <w:topLinePunct w:val="0"/>
        <w:autoSpaceDE/>
        <w:autoSpaceDN/>
        <w:bidi w:val="0"/>
        <w:adjustRightInd/>
        <w:snapToGrid/>
        <w:ind w:firstLine="640" w:firstLineChars="200"/>
        <w:jc w:val="center"/>
        <w:rPr>
          <w:rFonts w:ascii="黑体" w:hAnsi="黑体" w:eastAsia="黑体" w:cs="黑体"/>
          <w:kern w:val="0"/>
          <w:sz w:val="32"/>
          <w:szCs w:val="32"/>
        </w:rPr>
      </w:pPr>
      <w:r>
        <w:rPr>
          <w:rFonts w:hint="eastAsia" w:ascii="黑体" w:hAnsi="黑体" w:eastAsia="黑体" w:cs="黑体"/>
          <w:kern w:val="0"/>
          <w:sz w:val="32"/>
          <w:szCs w:val="32"/>
        </w:rPr>
        <w:t>第二章  秸秆露天禁烧</w:t>
      </w:r>
    </w:p>
    <w:p>
      <w:pPr>
        <w:pStyle w:val="5"/>
        <w:keepNext w:val="0"/>
        <w:keepLines w:val="0"/>
        <w:pageBreakBefore w:val="0"/>
        <w:kinsoku/>
        <w:wordWrap/>
        <w:overflowPunct/>
        <w:topLinePunct w:val="0"/>
        <w:autoSpaceDE/>
        <w:autoSpaceDN/>
        <w:bidi w:val="0"/>
        <w:adjustRightInd/>
        <w:snapToGrid/>
        <w:spacing w:line="640" w:lineRule="exact"/>
        <w:ind w:firstLine="640" w:firstLineChars="200"/>
        <w:rPr>
          <w:rFonts w:ascii="仿宋_GB2312" w:hAnsi="黑体" w:cs="黑体"/>
          <w:kern w:val="0"/>
          <w:szCs w:val="32"/>
        </w:rPr>
      </w:pPr>
      <w:r>
        <w:rPr>
          <w:rFonts w:hint="eastAsia" w:ascii="黑体" w:hAnsi="黑体" w:eastAsia="黑体" w:cs="黑体"/>
          <w:kern w:val="0"/>
          <w:szCs w:val="32"/>
        </w:rPr>
        <w:t>第十一条</w:t>
      </w:r>
      <w:r>
        <w:rPr>
          <w:rFonts w:hint="eastAsia" w:ascii="黑体" w:hAnsi="黑体" w:eastAsia="黑体" w:cs="黑体"/>
          <w:b/>
          <w:kern w:val="0"/>
          <w:szCs w:val="32"/>
        </w:rPr>
        <w:t xml:space="preserve">  </w:t>
      </w:r>
      <w:r>
        <w:rPr>
          <w:rFonts w:hint="eastAsia" w:ascii="仿宋_GB2312" w:hAnsi="黑体" w:cs="黑体"/>
          <w:kern w:val="0"/>
          <w:szCs w:val="32"/>
        </w:rPr>
        <w:t>本市行政区域内禁止露天焚烧秸秆。</w:t>
      </w:r>
    </w:p>
    <w:p>
      <w:pPr>
        <w:pStyle w:val="5"/>
        <w:keepNext w:val="0"/>
        <w:keepLines w:val="0"/>
        <w:pageBreakBefore w:val="0"/>
        <w:kinsoku/>
        <w:wordWrap/>
        <w:overflowPunct/>
        <w:topLinePunct w:val="0"/>
        <w:autoSpaceDE/>
        <w:autoSpaceDN/>
        <w:bidi w:val="0"/>
        <w:adjustRightInd/>
        <w:snapToGrid/>
        <w:ind w:firstLine="640" w:firstLineChars="200"/>
        <w:rPr>
          <w:rFonts w:ascii="仿宋_GB2312"/>
        </w:rPr>
      </w:pPr>
      <w:r>
        <w:rPr>
          <w:rFonts w:hint="eastAsia" w:ascii="仿宋_GB2312" w:hAnsi="黑体" w:cs="黑体"/>
          <w:kern w:val="0"/>
          <w:szCs w:val="32"/>
        </w:rPr>
        <w:t>农户、农业生产经营组织应当妥善处理秸秆，配合秸秆露天禁烧和综合利用工作。</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sz w:val="32"/>
          <w:szCs w:val="32"/>
        </w:rPr>
        <w:t xml:space="preserve">第十二条 </w:t>
      </w:r>
      <w:r>
        <w:rPr>
          <w:rFonts w:hint="eastAsia" w:ascii="仿宋" w:hAnsi="仿宋" w:eastAsia="仿宋" w:cs="宋体"/>
          <w:kern w:val="0"/>
          <w:sz w:val="32"/>
          <w:szCs w:val="32"/>
        </w:rPr>
        <w:t>市人民政府应当组织建立市、县（市）区、乡（镇）街道、村（社区）、组五级网格化秸秆露天禁烧监管体系，构建上下联动的工作机制、执法监管工作体系和督导检查工作制度；定期组织开展秸秆露天禁烧专项治理工作。</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黑体" w:hAnsi="黑体" w:eastAsia="黑体" w:cs="黑体"/>
          <w:bCs/>
          <w:sz w:val="32"/>
          <w:szCs w:val="32"/>
        </w:rPr>
        <w:t xml:space="preserve">第十三条  </w:t>
      </w:r>
      <w:r>
        <w:rPr>
          <w:rFonts w:hint="eastAsia" w:ascii="仿宋_GB2312" w:hAnsi="仿宋" w:eastAsia="仿宋_GB2312" w:cs="宋体"/>
          <w:kern w:val="0"/>
          <w:sz w:val="32"/>
          <w:szCs w:val="32"/>
        </w:rPr>
        <w:t>乡（镇）人民政府、街道办事处应当按照网格化管理体系落实责任区域和责任人，</w:t>
      </w:r>
      <w:r>
        <w:rPr>
          <w:rFonts w:hint="eastAsia" w:ascii="仿宋_GB2312" w:hAnsi="黑体" w:eastAsia="仿宋_GB2312" w:cs="宋体"/>
          <w:kern w:val="0"/>
          <w:sz w:val="32"/>
          <w:szCs w:val="32"/>
        </w:rPr>
        <w:t>加强巡查，及时发现和制止露天焚烧秸秆的行为，并协助生态环境主管部门调查处理露天焚烧秸秆的违法行为</w:t>
      </w:r>
      <w:r>
        <w:rPr>
          <w:rFonts w:hint="eastAsia" w:ascii="仿宋_GB2312" w:hAnsi="仿宋" w:eastAsia="仿宋_GB2312" w:cs="宋体"/>
          <w:kern w:val="0"/>
          <w:sz w:val="32"/>
          <w:szCs w:val="32"/>
        </w:rPr>
        <w:t>。</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黑体" w:hAnsi="黑体" w:eastAsia="黑体" w:cs="黑体"/>
          <w:bCs/>
          <w:kern w:val="0"/>
          <w:sz w:val="32"/>
          <w:szCs w:val="32"/>
        </w:rPr>
        <w:t xml:space="preserve">第十四条 </w:t>
      </w:r>
      <w:r>
        <w:rPr>
          <w:rFonts w:hint="eastAsia" w:ascii="仿宋_GB2312" w:hAnsi="黑体" w:eastAsia="仿宋_GB2312" w:cs="黑体"/>
          <w:bCs/>
          <w:kern w:val="0"/>
          <w:sz w:val="32"/>
          <w:szCs w:val="32"/>
        </w:rPr>
        <w:t xml:space="preserve"> </w:t>
      </w:r>
      <w:r>
        <w:rPr>
          <w:rFonts w:hint="eastAsia" w:ascii="仿宋_GB2312" w:hAnsi="仿宋" w:eastAsia="仿宋_GB2312" w:cs="宋体"/>
          <w:kern w:val="0"/>
          <w:sz w:val="32"/>
          <w:szCs w:val="32"/>
        </w:rPr>
        <w:t>乡（镇）人民政府、街道办事处应当指导、督促村民委员会（包括农村社区居民委员会，下同）开展下列秸秆露天禁烧工作：</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仿宋_GB2312" w:hAnsi="仿宋" w:eastAsia="仿宋_GB2312" w:cs="宋体"/>
          <w:kern w:val="0"/>
          <w:sz w:val="32"/>
          <w:szCs w:val="32"/>
        </w:rPr>
        <w:t>（一）宣传教育引导村民遵守有关秸秆露天禁烧的法律、法规、规章和相关规定；</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仿宋_GB2312" w:hAnsi="仿宋" w:eastAsia="仿宋_GB2312" w:cs="宋体"/>
          <w:kern w:val="0"/>
          <w:sz w:val="32"/>
          <w:szCs w:val="32"/>
        </w:rPr>
        <w:t xml:space="preserve">（二）采取有效的管控措施，预防和及时发现、劝阻违反规定露天焚烧秸秆行为； </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仿宋_GB2312" w:hAnsi="仿宋" w:eastAsia="仿宋_GB2312" w:cs="宋体"/>
          <w:kern w:val="0"/>
          <w:sz w:val="32"/>
          <w:szCs w:val="32"/>
        </w:rPr>
        <w:t>（三）将秸秆露天禁烧工作作为精神文明建设和创建平安村（屯）、美丽乡村的内容；</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仿宋_GB2312" w:hAnsi="仿宋" w:eastAsia="仿宋_GB2312" w:cs="宋体"/>
          <w:kern w:val="0"/>
          <w:sz w:val="32"/>
          <w:szCs w:val="32"/>
        </w:rPr>
        <w:t>（四）将秸秆露天禁烧纳入村规民约；</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仿宋_GB2312" w:hAnsi="仿宋" w:eastAsia="仿宋_GB2312" w:cs="宋体"/>
          <w:kern w:val="0"/>
          <w:sz w:val="32"/>
          <w:szCs w:val="32"/>
        </w:rPr>
        <w:t>（五）落实秸秆露天禁烧工作的其他必要措施。</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_GB2312" w:hAnsi="仿宋" w:eastAsia="仿宋_GB2312" w:cs="宋体"/>
          <w:kern w:val="0"/>
          <w:sz w:val="32"/>
          <w:szCs w:val="32"/>
        </w:rPr>
      </w:pPr>
      <w:r>
        <w:rPr>
          <w:rFonts w:hint="eastAsia" w:ascii="黑体" w:hAnsi="黑体" w:eastAsia="黑体" w:cs="黑体"/>
          <w:bCs/>
          <w:kern w:val="0"/>
          <w:sz w:val="32"/>
          <w:szCs w:val="32"/>
        </w:rPr>
        <w:t>第十五条</w:t>
      </w:r>
      <w:bookmarkStart w:id="6" w:name="tiao_18_kuan_1"/>
      <w:bookmarkEnd w:id="6"/>
      <w:r>
        <w:rPr>
          <w:rFonts w:hint="eastAsia" w:ascii="黑体" w:hAnsi="黑体" w:eastAsia="黑体" w:cs="黑体"/>
          <w:bCs/>
          <w:kern w:val="0"/>
          <w:sz w:val="32"/>
          <w:szCs w:val="32"/>
        </w:rPr>
        <w:t xml:space="preserve"> </w:t>
      </w:r>
      <w:r>
        <w:rPr>
          <w:rFonts w:ascii="仿宋" w:hAnsi="仿宋" w:eastAsia="仿宋" w:cs="Arial"/>
          <w:bCs/>
          <w:kern w:val="0"/>
          <w:sz w:val="32"/>
          <w:szCs w:val="32"/>
        </w:rPr>
        <w:t xml:space="preserve"> </w:t>
      </w:r>
      <w:r>
        <w:rPr>
          <w:rFonts w:hint="eastAsia" w:ascii="仿宋_GB2312" w:hAnsi="仿宋" w:eastAsia="仿宋_GB2312" w:cs="宋体"/>
          <w:kern w:val="0"/>
          <w:sz w:val="32"/>
          <w:szCs w:val="32"/>
        </w:rPr>
        <w:t>村民委员会应当落实秸秆露天禁烧责任，组织秸秆露天禁烧巡查队，开展秸秆禁烧巡查工作。</w:t>
      </w:r>
    </w:p>
    <w:p>
      <w:pPr>
        <w:keepNext w:val="0"/>
        <w:keepLines w:val="0"/>
        <w:pageBreakBefore w:val="0"/>
        <w:widowControl/>
        <w:shd w:val="clear" w:color="auto" w:fill="FFFFFF"/>
        <w:kinsoku/>
        <w:wordWrap/>
        <w:overflowPunct/>
        <w:topLinePunct w:val="0"/>
        <w:autoSpaceDE/>
        <w:autoSpaceDN/>
        <w:bidi w:val="0"/>
        <w:adjustRightInd/>
        <w:snapToGrid/>
        <w:spacing w:line="640" w:lineRule="exact"/>
        <w:ind w:firstLine="640" w:firstLineChars="200"/>
        <w:textAlignment w:val="baseline"/>
        <w:rPr>
          <w:rFonts w:ascii="仿宋_GB2312" w:hAnsi="仿宋" w:eastAsia="仿宋_GB2312" w:cs="宋体"/>
          <w:kern w:val="0"/>
          <w:sz w:val="32"/>
          <w:szCs w:val="32"/>
        </w:rPr>
      </w:pPr>
      <w:r>
        <w:rPr>
          <w:rFonts w:hint="eastAsia" w:ascii="仿宋_GB2312" w:hAnsi="仿宋" w:eastAsia="仿宋_GB2312" w:cs="宋体"/>
          <w:kern w:val="0"/>
          <w:sz w:val="32"/>
          <w:szCs w:val="32"/>
        </w:rPr>
        <w:t>县(市)区人民政府应当对秸秆露天禁烧巡查人员给予适当补助。</w:t>
      </w:r>
    </w:p>
    <w:p>
      <w:pPr>
        <w:keepNext w:val="0"/>
        <w:keepLines w:val="0"/>
        <w:pageBreakBefore w:val="0"/>
        <w:widowControl/>
        <w:shd w:val="clear" w:color="auto" w:fill="FFFFFF"/>
        <w:kinsoku/>
        <w:wordWrap/>
        <w:overflowPunct/>
        <w:topLinePunct w:val="0"/>
        <w:autoSpaceDE/>
        <w:autoSpaceDN/>
        <w:bidi w:val="0"/>
        <w:adjustRightInd/>
        <w:snapToGrid/>
        <w:spacing w:after="240" w:line="640" w:lineRule="exact"/>
        <w:ind w:firstLine="640" w:firstLineChars="200"/>
        <w:jc w:val="center"/>
        <w:textAlignment w:val="baseline"/>
        <w:rPr>
          <w:rFonts w:ascii="仿宋" w:hAnsi="仿宋" w:eastAsia="仿宋" w:cs="宋体"/>
          <w:kern w:val="0"/>
          <w:sz w:val="32"/>
          <w:szCs w:val="32"/>
        </w:rPr>
      </w:pPr>
      <w:r>
        <w:rPr>
          <w:rFonts w:hint="eastAsia" w:ascii="黑体" w:hAnsi="黑体" w:eastAsia="黑体" w:cs="黑体"/>
          <w:bCs/>
          <w:kern w:val="0"/>
          <w:sz w:val="32"/>
          <w:szCs w:val="32"/>
        </w:rPr>
        <w:t>第三章  秸秆综合利用</w:t>
      </w:r>
    </w:p>
    <w:p>
      <w:pPr>
        <w:keepNext w:val="0"/>
        <w:keepLines w:val="0"/>
        <w:pageBreakBefore w:val="0"/>
        <w:widowControl/>
        <w:shd w:val="clear" w:color="auto" w:fill="FFFFFF"/>
        <w:kinsoku/>
        <w:wordWrap/>
        <w:overflowPunct/>
        <w:topLinePunct w:val="0"/>
        <w:autoSpaceDE/>
        <w:autoSpaceDN/>
        <w:bidi w:val="0"/>
        <w:adjustRightInd/>
        <w:snapToGrid/>
        <w:spacing w:line="640" w:lineRule="exact"/>
        <w:ind w:firstLine="640" w:firstLineChars="200"/>
        <w:textAlignment w:val="baseline"/>
        <w:rPr>
          <w:rFonts w:ascii="黑体" w:hAnsi="黑体" w:eastAsia="黑体" w:cs="黑体"/>
          <w:kern w:val="0"/>
          <w:sz w:val="32"/>
          <w:szCs w:val="32"/>
        </w:rPr>
      </w:pPr>
      <w:r>
        <w:rPr>
          <w:rFonts w:hint="eastAsia" w:ascii="黑体" w:hAnsi="黑体" w:eastAsia="黑体" w:cs="黑体"/>
          <w:bCs/>
          <w:kern w:val="0"/>
          <w:sz w:val="32"/>
          <w:szCs w:val="32"/>
        </w:rPr>
        <w:t>第十六条</w:t>
      </w:r>
      <w:r>
        <w:rPr>
          <w:rFonts w:hint="eastAsia" w:ascii="黑体" w:hAnsi="黑体" w:eastAsia="黑体" w:cs="黑体"/>
          <w:b/>
          <w:bCs/>
          <w:kern w:val="0"/>
          <w:sz w:val="32"/>
          <w:szCs w:val="32"/>
        </w:rPr>
        <w:t xml:space="preserve">  </w:t>
      </w:r>
      <w:bookmarkStart w:id="7" w:name="tiao_19_kuan_1"/>
      <w:bookmarkEnd w:id="7"/>
      <w:r>
        <w:rPr>
          <w:rFonts w:hint="eastAsia" w:ascii="仿宋_GB2312" w:hAnsi="黑体" w:eastAsia="仿宋_GB2312" w:cs="黑体"/>
          <w:kern w:val="0"/>
          <w:sz w:val="32"/>
          <w:szCs w:val="32"/>
        </w:rPr>
        <w:t>市、县（市）区人民政府应当根据本级国民经济和社会发展规划编制秸秆综合利用规划,因地制宜确定秸秆肥料化、饲料化、能源化、基料化、原料化等多元化利用方式，统筹秸秆综合利用项目和产业布局。</w:t>
      </w:r>
    </w:p>
    <w:p>
      <w:pPr>
        <w:keepNext w:val="0"/>
        <w:keepLines w:val="0"/>
        <w:pageBreakBefore w:val="0"/>
        <w:widowControl/>
        <w:shd w:val="clear" w:color="auto" w:fill="FFFFFF"/>
        <w:kinsoku/>
        <w:wordWrap/>
        <w:overflowPunct/>
        <w:topLinePunct w:val="0"/>
        <w:autoSpaceDE/>
        <w:autoSpaceDN/>
        <w:bidi w:val="0"/>
        <w:adjustRightInd/>
        <w:snapToGrid/>
        <w:spacing w:after="240" w:line="640" w:lineRule="exact"/>
        <w:ind w:firstLine="640" w:firstLineChars="200"/>
        <w:textAlignment w:val="baseline"/>
        <w:rPr>
          <w:rFonts w:ascii="仿宋_GB2312" w:hAnsi="仿宋" w:eastAsia="仿宋_GB2312" w:cs="宋体"/>
          <w:kern w:val="0"/>
          <w:sz w:val="32"/>
          <w:szCs w:val="32"/>
        </w:rPr>
      </w:pPr>
      <w:r>
        <w:rPr>
          <w:rFonts w:hint="eastAsia" w:ascii="黑体" w:hAnsi="黑体" w:eastAsia="黑体" w:cs="黑体"/>
          <w:bCs/>
          <w:kern w:val="0"/>
          <w:sz w:val="32"/>
          <w:szCs w:val="32"/>
        </w:rPr>
        <w:t>第十七条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_GB2312" w:hAnsi="仿宋" w:eastAsia="仿宋_GB2312" w:cs="宋体"/>
          <w:kern w:val="0"/>
          <w:sz w:val="32"/>
          <w:szCs w:val="32"/>
        </w:rPr>
        <w:t>市、县（市）区人民政府应当按照国家、省有关规定制定并落实有利于秸秆综合利用产业发展的财政、投资、技术、用地、信贷、保险、政府采购、运输、税收、用电等扶持政策，促进秸秆肥料化、饲料化、能源化、基料化、原料化</w:t>
      </w:r>
      <w:r>
        <w:rPr>
          <w:rFonts w:hint="eastAsia" w:ascii="仿宋_GB2312" w:hAnsi="黑体" w:eastAsia="仿宋_GB2312" w:cs="黑体"/>
          <w:kern w:val="0"/>
          <w:sz w:val="32"/>
          <w:szCs w:val="32"/>
        </w:rPr>
        <w:t>等多元化</w:t>
      </w:r>
      <w:r>
        <w:rPr>
          <w:rFonts w:hint="eastAsia" w:ascii="仿宋_GB2312" w:hAnsi="仿宋" w:eastAsia="仿宋_GB2312" w:cs="宋体"/>
          <w:kern w:val="0"/>
          <w:sz w:val="32"/>
          <w:szCs w:val="32"/>
        </w:rPr>
        <w:t>利用。</w:t>
      </w:r>
    </w:p>
    <w:p>
      <w:pPr>
        <w:pStyle w:val="14"/>
        <w:keepNext w:val="0"/>
        <w:keepLines w:val="0"/>
        <w:pageBreakBefore w:val="0"/>
        <w:kinsoku/>
        <w:wordWrap/>
        <w:overflowPunct/>
        <w:topLinePunct w:val="0"/>
        <w:autoSpaceDE/>
        <w:autoSpaceDN/>
        <w:bidi w:val="0"/>
        <w:adjustRightInd/>
        <w:snapToGrid/>
        <w:ind w:firstLine="640" w:firstLineChars="200"/>
        <w:rPr>
          <w:rFonts w:ascii="仿宋_GB2312" w:hAnsi="仿宋" w:eastAsia="仿宋_GB2312" w:cs="宋体"/>
          <w:kern w:val="0"/>
          <w:sz w:val="32"/>
          <w:szCs w:val="32"/>
        </w:rPr>
      </w:pPr>
      <w:bookmarkStart w:id="8" w:name="tiao_20_kuan_1"/>
      <w:bookmarkEnd w:id="8"/>
      <w:r>
        <w:rPr>
          <w:rFonts w:hint="eastAsia" w:ascii="黑体" w:hAnsi="黑体" w:eastAsia="黑体" w:cs="黑体"/>
          <w:bCs/>
          <w:kern w:val="0"/>
          <w:sz w:val="32"/>
          <w:szCs w:val="32"/>
        </w:rPr>
        <w:t>第十八条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_GB2312" w:hAnsi="仿宋" w:eastAsia="仿宋_GB2312" w:cs="宋体"/>
          <w:kern w:val="0"/>
          <w:sz w:val="32"/>
          <w:szCs w:val="32"/>
        </w:rPr>
        <w:t>市、县（市）区人民政府应当积极推进秸秆全量化利用示范项目建设，建立以市场为导向、秸秆利用企业为龙头、农业经营主体和广大农民参与的秸秆综合利用机制。</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bookmarkStart w:id="9" w:name="tiao_21_kuan_1"/>
      <w:bookmarkEnd w:id="9"/>
      <w:r>
        <w:rPr>
          <w:rFonts w:hint="eastAsia" w:ascii="黑体" w:hAnsi="黑体" w:eastAsia="黑体" w:cs="黑体"/>
          <w:bCs/>
          <w:kern w:val="0"/>
          <w:sz w:val="32"/>
          <w:szCs w:val="32"/>
        </w:rPr>
        <w:t>第十九条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市、县（市）区人民政府应当采取有效措施，鼓励和支持下列秸秆综合利用科学技术研究和应用活动：</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（一）开展秸秆综合利用科学技术研究、创新；</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 xml:space="preserve">（二）推进秸秆综合利用科技成果转化应用； </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（三）开发和推广应用秸秆综合利用新技术、新工艺和新设备；</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仿宋" w:hAnsi="仿宋" w:eastAsia="仿宋" w:cs="宋体"/>
          <w:kern w:val="0"/>
          <w:sz w:val="32"/>
          <w:szCs w:val="32"/>
        </w:rPr>
        <w:t>（四）开展秸秆综合利用技术培训，提高农民和农业生产经营组织综合利用秸秆的技能。</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bookmarkStart w:id="10" w:name="tiao_22_kuan_1"/>
      <w:bookmarkEnd w:id="10"/>
      <w:r>
        <w:rPr>
          <w:rFonts w:hint="eastAsia" w:ascii="黑体" w:hAnsi="黑体" w:eastAsia="黑体" w:cs="黑体"/>
          <w:bCs/>
          <w:kern w:val="0"/>
          <w:sz w:val="32"/>
          <w:szCs w:val="32"/>
        </w:rPr>
        <w:t>第二十条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推广以秸秆还田为核心的保护性耕作技术，支持农户和新型农业经营主体实施秸秆覆盖还田、深翻还田等秸秆肥料化利用。</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仿宋" w:hAnsi="仿宋" w:eastAsia="仿宋" w:cs="宋体"/>
          <w:kern w:val="0"/>
          <w:sz w:val="32"/>
          <w:szCs w:val="32"/>
        </w:rPr>
        <w:t>对于从事本条前款规定活动的农户和新型农业经营主体，市、县（市）区人民政府按照有关规定予以补贴。</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黑体" w:hAnsi="黑体" w:eastAsia="黑体" w:cs="黑体"/>
          <w:bCs/>
          <w:kern w:val="0"/>
          <w:sz w:val="32"/>
          <w:szCs w:val="32"/>
        </w:rPr>
        <w:t>第二十一条</w:t>
      </w:r>
      <w:bookmarkStart w:id="11" w:name="tiao_23_kuan_1"/>
      <w:bookmarkEnd w:id="11"/>
      <w:r>
        <w:rPr>
          <w:rFonts w:hint="eastAsia" w:ascii="黑体" w:hAnsi="黑体" w:eastAsia="黑体" w:cs="黑体"/>
          <w:bCs/>
          <w:kern w:val="0"/>
          <w:sz w:val="32"/>
          <w:szCs w:val="32"/>
        </w:rPr>
        <w:t xml:space="preserve"> </w:t>
      </w:r>
      <w:r>
        <w:rPr>
          <w:rFonts w:hint="eastAsia" w:ascii="仿宋" w:hAnsi="仿宋" w:eastAsia="仿宋" w:cs="宋体"/>
          <w:kern w:val="0"/>
          <w:sz w:val="32"/>
          <w:szCs w:val="32"/>
        </w:rPr>
        <w:t>市、县（市）区人民政府应当鼓励农户通过秸秆换燃料的方式与秸秆综合利用企业合作，推广秸秆颗粒和秸秆压块燃料应用；支持采用秸秆成型燃料锅炉替代燃煤锅炉；支持因地制宜开展秸秆气化利用和生物质发电项目建设。</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sz w:val="32"/>
          <w:szCs w:val="32"/>
        </w:rPr>
      </w:pPr>
      <w:r>
        <w:rPr>
          <w:rFonts w:hint="eastAsia" w:ascii="仿宋" w:hAnsi="仿宋" w:eastAsia="仿宋" w:cs="宋体"/>
          <w:kern w:val="0"/>
          <w:sz w:val="32"/>
          <w:szCs w:val="32"/>
        </w:rPr>
        <w:t>鼓励农户安装使用生物质炉灶，对安装使用生物质炉灶的农户，按照有关规定进行补贴。</w:t>
      </w:r>
      <w:r>
        <w:fldChar w:fldCharType="begin"/>
      </w:r>
      <w:r>
        <w:instrText xml:space="preserve"> HYPERLINK "javascript:void(0);" </w:instrText>
      </w:r>
      <w:r>
        <w:fldChar w:fldCharType="separate"/>
      </w:r>
      <w:r>
        <w:fldChar w:fldCharType="end"/>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第二十二条</w:t>
      </w:r>
      <w:bookmarkStart w:id="12" w:name="tiao_24_kuan_1"/>
      <w:bookmarkEnd w:id="12"/>
      <w:r>
        <w:rPr>
          <w:rFonts w:hint="eastAsia" w:ascii="仿宋" w:hAnsi="仿宋" w:eastAsia="仿宋" w:cs="Arial"/>
          <w:b/>
          <w:bCs/>
          <w:kern w:val="0"/>
          <w:sz w:val="32"/>
          <w:szCs w:val="32"/>
        </w:rPr>
        <w:t xml:space="preserve">  </w:t>
      </w:r>
      <w:r>
        <w:rPr>
          <w:rFonts w:hint="eastAsia" w:ascii="仿宋" w:hAnsi="仿宋" w:eastAsia="仿宋" w:cs="宋体"/>
          <w:kern w:val="0"/>
          <w:sz w:val="32"/>
          <w:szCs w:val="32"/>
        </w:rPr>
        <w:t>市、县（市）区人民政府支持开展秸秆饲料新技术、新产品研究开发，大力推广秸秆青贮、黄贮、微贮、膨化、氨化、盐化等秸秆饲料化利用技术，引导养殖合作社、养殖场、养殖户、秸秆饲料企业开发利用秸秆饲料，并按照有关规定予以补贴。</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黑体" w:hAnsi="黑体" w:eastAsia="黑体" w:cs="黑体"/>
          <w:bCs/>
          <w:kern w:val="0"/>
          <w:sz w:val="32"/>
          <w:szCs w:val="32"/>
        </w:rPr>
        <w:t>第二十三条</w:t>
      </w:r>
      <w:bookmarkStart w:id="13" w:name="tiao_25_kuan_1"/>
      <w:bookmarkEnd w:id="13"/>
      <w:r>
        <w:rPr>
          <w:rFonts w:hint="eastAsia" w:ascii="仿宋" w:hAnsi="仿宋" w:eastAsia="仿宋" w:cs="Arial"/>
          <w:b/>
          <w:bCs/>
          <w:kern w:val="0"/>
          <w:sz w:val="32"/>
          <w:szCs w:val="32"/>
        </w:rPr>
        <w:t xml:space="preserve">  </w:t>
      </w:r>
      <w:r>
        <w:rPr>
          <w:rFonts w:hint="eastAsia" w:ascii="仿宋" w:hAnsi="仿宋" w:eastAsia="仿宋" w:cs="宋体"/>
          <w:kern w:val="0"/>
          <w:sz w:val="32"/>
          <w:szCs w:val="32"/>
        </w:rPr>
        <w:t>对下列使用秸秆饲料化利用成熟技术的养殖合作社、养殖场、养殖户、秸秆饲料企业，按照有关规定予以补助：</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（一）新建、改建砖石混凝土结构秸秆青（黄）贮饲料窖，建设容积达到规定标准以上的，在省人民政府补助的基础上，市或者县（市）区人民政府进行累加补助；</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（二）使用秸秆制作青（黄）贮饲料，制作数量在规定标准以上的，由市人民政府予以补助；</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仿宋" w:hAnsi="仿宋" w:eastAsia="仿宋" w:cs="宋体"/>
          <w:kern w:val="0"/>
          <w:sz w:val="32"/>
          <w:szCs w:val="32"/>
        </w:rPr>
        <w:t>（三）利用微生物菌种处理秸秆的，根据购买微生物菌种的费用，由市人民政府予以补助。</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第二十四条</w:t>
      </w:r>
      <w:bookmarkStart w:id="14" w:name="tiao_26_kuan_1"/>
      <w:bookmarkEnd w:id="14"/>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市、县（市）区人民政府及有关部门应当加大招商引资力度，支持技术成熟和效益良好的秸秆工业原料化利用项目，提高秸秆就地加工转化能力。</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第二十五条</w:t>
      </w:r>
      <w:bookmarkStart w:id="15" w:name="tiao_27_kuan_1"/>
      <w:bookmarkEnd w:id="15"/>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市、县（市）区人民政府应当支持、引导相关企业和农户，开发以秸秆为基料的草腐菌类生产项目，提高食用菌产业对秸秆基料的需求，拓展秸秆基料化利用途径。</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sz w:val="32"/>
          <w:szCs w:val="32"/>
        </w:rPr>
      </w:pPr>
      <w:r>
        <w:rPr>
          <w:rFonts w:hint="eastAsia" w:ascii="黑体" w:hAnsi="黑体" w:eastAsia="黑体" w:cs="黑体"/>
          <w:bCs/>
          <w:kern w:val="0"/>
          <w:sz w:val="32"/>
          <w:szCs w:val="32"/>
        </w:rPr>
        <w:t>第二十六条</w:t>
      </w:r>
      <w:bookmarkStart w:id="16" w:name="tiao_28_kuan_1"/>
      <w:bookmarkEnd w:id="16"/>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市、县（市）区人民政府应当积极发展以秸秆为原料的加工业，采用清洁工艺生产以秸秆为原料的农业育苗钵、绿化草毯、土壤改良有机炭肥等；鼓励发展以秸秆为原料的人造板材、包装材料、工业用纤维、人造革填充剂等产品；扶持发展秸秆编织业。</w:t>
      </w:r>
      <w:r>
        <w:fldChar w:fldCharType="begin"/>
      </w:r>
      <w:r>
        <w:instrText xml:space="preserve"> HYPERLINK "javascript:void(0);" </w:instrText>
      </w:r>
      <w:r>
        <w:fldChar w:fldCharType="separate"/>
      </w:r>
      <w:r>
        <w:fldChar w:fldCharType="end"/>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第二十七条</w:t>
      </w:r>
      <w:bookmarkStart w:id="17" w:name="tiao_29_kuan_1"/>
      <w:bookmarkEnd w:id="17"/>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支持企业和农业经营主体购置机械设备进行秸秆综合利用。对于购置的机械设备属于省农机购置补贴目录内的，在省人民政府补贴的基础上，市、县（市）区人民政府按照有关规定予以累加补贴。</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第二十八条</w:t>
      </w:r>
      <w:bookmarkStart w:id="18" w:name="tiao_30_kuan_1"/>
      <w:bookmarkEnd w:id="18"/>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企业、农业经营主体和其他社会组织，在本行政区域内建立适宜本地发展的专业化秸秆收集、储存、运输、转化利用体系的，市、县（市）区人民政府按照相关规定给予补贴。</w:t>
      </w:r>
    </w:p>
    <w:p>
      <w:pPr>
        <w:pStyle w:val="14"/>
        <w:keepNext w:val="0"/>
        <w:keepLines w:val="0"/>
        <w:pageBreakBefore w:val="0"/>
        <w:kinsoku/>
        <w:wordWrap/>
        <w:overflowPunct/>
        <w:topLinePunct w:val="0"/>
        <w:autoSpaceDE/>
        <w:autoSpaceDN/>
        <w:bidi w:val="0"/>
        <w:adjustRightInd/>
        <w:snapToGrid/>
        <w:ind w:firstLine="640" w:firstLineChars="200"/>
        <w:rPr>
          <w:rFonts w:ascii="仿宋_GB2312" w:hAnsi="黑体" w:eastAsia="仿宋_GB2312" w:cs="黑体"/>
          <w:kern w:val="0"/>
          <w:sz w:val="32"/>
          <w:szCs w:val="32"/>
        </w:rPr>
      </w:pPr>
      <w:r>
        <w:rPr>
          <w:rFonts w:hint="eastAsia" w:ascii="黑体" w:hAnsi="黑体" w:eastAsia="黑体" w:cs="黑体"/>
          <w:kern w:val="0"/>
          <w:sz w:val="32"/>
          <w:szCs w:val="32"/>
        </w:rPr>
        <w:t>第二十九条</w:t>
      </w:r>
      <w:r>
        <w:rPr>
          <w:rFonts w:ascii="黑体" w:hAnsi="黑体" w:eastAsia="黑体" w:cs="黑体"/>
          <w:kern w:val="0"/>
          <w:sz w:val="32"/>
          <w:szCs w:val="32"/>
        </w:rPr>
        <w:t xml:space="preserve"> </w:t>
      </w:r>
      <w:r>
        <w:rPr>
          <w:rFonts w:hint="eastAsia" w:ascii="仿宋_GB2312" w:hAnsi="黑体" w:eastAsia="仿宋_GB2312" w:cs="黑体"/>
          <w:kern w:val="0"/>
          <w:sz w:val="32"/>
          <w:szCs w:val="32"/>
        </w:rPr>
        <w:t>市、县（市）区农业农村主管部门应当推进秸秆离田、收集、打捆（包）等先进技术装备的引进、开发、推广，鼓励企业合理选择带有除尘土功能的秸秆捡拾打捆（包）机进地作业，加强对黑土地的保护。</w:t>
      </w:r>
    </w:p>
    <w:p>
      <w:pPr>
        <w:pStyle w:val="14"/>
        <w:keepNext w:val="0"/>
        <w:keepLines w:val="0"/>
        <w:pageBreakBefore w:val="0"/>
        <w:kinsoku/>
        <w:wordWrap/>
        <w:overflowPunct/>
        <w:topLinePunct w:val="0"/>
        <w:autoSpaceDE/>
        <w:autoSpaceDN/>
        <w:bidi w:val="0"/>
        <w:adjustRightInd/>
        <w:snapToGrid/>
        <w:ind w:firstLine="640" w:firstLineChars="200"/>
        <w:rPr>
          <w:rFonts w:ascii="仿宋_GB2312" w:hAnsi="黑体" w:eastAsia="仿宋_GB2312" w:cs="黑体"/>
          <w:kern w:val="0"/>
          <w:sz w:val="32"/>
          <w:szCs w:val="32"/>
        </w:rPr>
      </w:pPr>
      <w:r>
        <w:rPr>
          <w:rFonts w:hint="eastAsia" w:ascii="黑体" w:hAnsi="黑体" w:eastAsia="黑体" w:cs="黑体"/>
          <w:kern w:val="0"/>
          <w:sz w:val="32"/>
          <w:szCs w:val="32"/>
        </w:rPr>
        <w:t xml:space="preserve">第三十条  </w:t>
      </w:r>
      <w:r>
        <w:rPr>
          <w:rFonts w:hint="eastAsia" w:ascii="仿宋_GB2312" w:hAnsi="黑体" w:eastAsia="仿宋_GB2312" w:cs="黑体"/>
          <w:kern w:val="0"/>
          <w:sz w:val="32"/>
          <w:szCs w:val="32"/>
        </w:rPr>
        <w:t>市、县（市）区农业农村主管部门应当加强秸秆资源数据信息平台建设，及时公开秸秆综合利用政策、项目和秸秆资源分布、收储、供应等信息，引导农业生产经营组织和农民开展秸秆综合利用，并与生态环境主管部门和乡（镇）人民政府、街道办事处实行信息共享。</w:t>
      </w:r>
    </w:p>
    <w:p>
      <w:pPr>
        <w:pStyle w:val="14"/>
        <w:keepNext w:val="0"/>
        <w:keepLines w:val="0"/>
        <w:pageBreakBefore w:val="0"/>
        <w:kinsoku/>
        <w:wordWrap/>
        <w:overflowPunct/>
        <w:topLinePunct w:val="0"/>
        <w:autoSpaceDE/>
        <w:autoSpaceDN/>
        <w:bidi w:val="0"/>
        <w:adjustRightInd/>
        <w:snapToGrid/>
        <w:spacing w:before="240" w:after="240"/>
        <w:ind w:firstLine="640" w:firstLineChars="200"/>
        <w:jc w:val="center"/>
        <w:rPr>
          <w:rFonts w:ascii="黑体" w:hAnsi="黑体" w:eastAsia="黑体" w:cs="黑体"/>
          <w:bCs/>
          <w:kern w:val="0"/>
          <w:sz w:val="32"/>
          <w:szCs w:val="32"/>
        </w:rPr>
      </w:pPr>
      <w:r>
        <w:rPr>
          <w:rFonts w:hint="eastAsia" w:ascii="黑体" w:hAnsi="黑体" w:eastAsia="黑体" w:cs="黑体"/>
          <w:bCs/>
          <w:kern w:val="0"/>
          <w:sz w:val="32"/>
          <w:szCs w:val="32"/>
        </w:rPr>
        <w:t>第四章  法律责任</w:t>
      </w:r>
    </w:p>
    <w:p>
      <w:pPr>
        <w:keepNext w:val="0"/>
        <w:keepLines w:val="0"/>
        <w:pageBreakBefore w:val="0"/>
        <w:widowControl/>
        <w:kinsoku/>
        <w:wordWrap/>
        <w:overflowPunct/>
        <w:topLinePunct w:val="0"/>
        <w:autoSpaceDE/>
        <w:autoSpaceDN/>
        <w:bidi w:val="0"/>
        <w:adjustRightInd/>
        <w:snapToGrid/>
        <w:spacing w:before="240" w:after="240" w:line="640" w:lineRule="exact"/>
        <w:ind w:firstLine="640" w:firstLineChars="200"/>
        <w:jc w:val="left"/>
        <w:rPr>
          <w:rFonts w:ascii="仿宋" w:hAnsi="仿宋" w:eastAsia="仿宋" w:cs="宋体"/>
          <w:kern w:val="0"/>
          <w:sz w:val="32"/>
          <w:szCs w:val="32"/>
        </w:rPr>
      </w:pPr>
      <w:bookmarkStart w:id="19" w:name="tiao_31_kuan_1"/>
      <w:bookmarkEnd w:id="19"/>
      <w:r>
        <w:rPr>
          <w:rFonts w:hint="eastAsia" w:ascii="黑体" w:hAnsi="黑体" w:eastAsia="黑体" w:cs="黑体"/>
          <w:bCs/>
          <w:kern w:val="0"/>
          <w:sz w:val="32"/>
          <w:szCs w:val="32"/>
        </w:rPr>
        <w:t>第三十一条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在秸秆露天禁烧工作中，有下列情形之一的，由市、县（市）区人民政府及有关机关启动问责机制，依照有关规定追究政府及其相关部门主要领导、直接主管领导、具体负责秸秆露天禁烧工作相关人员和村（社区）、组负责人的责任：</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（一）未建立网格化秸秆露天禁烧监管体系的；</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（二）未按照规定对秸秆露天禁烧工作进行监督检查的;</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（三）未及时查处违法露天焚烧秸秆行为的；</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（四）未完成秸秆露天禁烧工作目标任务的；</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（五）发生秸秆露天焚烧造成严重影响和后果的；</w:t>
      </w:r>
    </w:p>
    <w:p>
      <w:pPr>
        <w:keepNext w:val="0"/>
        <w:keepLines w:val="0"/>
        <w:pageBreakBefore w:val="0"/>
        <w:widowControl/>
        <w:kinsoku/>
        <w:wordWrap/>
        <w:overflowPunct/>
        <w:topLinePunct w:val="0"/>
        <w:autoSpaceDE/>
        <w:autoSpaceDN/>
        <w:bidi w:val="0"/>
        <w:adjustRightInd/>
        <w:snapToGrid/>
        <w:spacing w:line="64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（六）未组织辖区内开展秸秆离田工作的；</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仿宋" w:hAnsi="仿宋" w:eastAsia="仿宋" w:cs="宋体"/>
          <w:kern w:val="0"/>
          <w:sz w:val="32"/>
          <w:szCs w:val="32"/>
        </w:rPr>
        <w:t>（七）违反秸秆露天禁烧相关规定的其他行为。</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bookmarkStart w:id="20" w:name="tiao_32_kuan_1"/>
      <w:bookmarkEnd w:id="20"/>
      <w:r>
        <w:rPr>
          <w:rFonts w:hint="eastAsia" w:ascii="黑体" w:hAnsi="黑体" w:eastAsia="黑体" w:cs="黑体"/>
          <w:bCs/>
          <w:kern w:val="0"/>
          <w:sz w:val="32"/>
          <w:szCs w:val="32"/>
        </w:rPr>
        <w:t>第三十二条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_GB2312" w:hAnsi="仿宋" w:eastAsia="仿宋_GB2312" w:cs="宋体"/>
          <w:kern w:val="0"/>
          <w:sz w:val="32"/>
          <w:szCs w:val="32"/>
        </w:rPr>
        <w:t>违反本条例规定露天焚烧秸秆的，</w:t>
      </w:r>
      <w:bookmarkStart w:id="21" w:name="tiao_33_kuan_1"/>
      <w:bookmarkEnd w:id="21"/>
      <w:r>
        <w:rPr>
          <w:rFonts w:hint="eastAsia" w:ascii="仿宋" w:hAnsi="仿宋" w:eastAsia="仿宋" w:cs="宋体"/>
          <w:kern w:val="0"/>
          <w:sz w:val="32"/>
          <w:szCs w:val="32"/>
        </w:rPr>
        <w:t>由生态环境主管部门或者市、县（市）区人民政府确定的监督管理部门责令改正，并可以处五百元以上二千元以下的罚款。</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r>
        <w:rPr>
          <w:rFonts w:hint="eastAsia" w:ascii="黑体" w:hAnsi="黑体" w:eastAsia="黑体" w:cs="黑体"/>
          <w:bCs/>
          <w:kern w:val="0"/>
          <w:sz w:val="32"/>
          <w:szCs w:val="32"/>
        </w:rPr>
        <w:t>第三十三条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违反本条例规定阻碍国家机关工作人员依法执行职务的，由公安机关依法予以处罚；构成犯罪的，依法追究刑事责任。</w:t>
      </w:r>
    </w:p>
    <w:p>
      <w:pPr>
        <w:pStyle w:val="14"/>
        <w:keepNext w:val="0"/>
        <w:keepLines w:val="0"/>
        <w:pageBreakBefore w:val="0"/>
        <w:kinsoku/>
        <w:wordWrap/>
        <w:overflowPunct/>
        <w:topLinePunct w:val="0"/>
        <w:autoSpaceDE/>
        <w:autoSpaceDN/>
        <w:bidi w:val="0"/>
        <w:adjustRightInd/>
        <w:snapToGrid/>
        <w:ind w:firstLine="640" w:firstLineChars="200"/>
        <w:rPr>
          <w:rFonts w:ascii="仿宋" w:hAnsi="仿宋" w:eastAsia="仿宋" w:cs="宋体"/>
          <w:kern w:val="0"/>
          <w:sz w:val="32"/>
          <w:szCs w:val="32"/>
        </w:rPr>
      </w:pPr>
      <w:bookmarkStart w:id="22" w:name="tiao_34_kuan_1"/>
      <w:bookmarkEnd w:id="22"/>
      <w:r>
        <w:rPr>
          <w:rFonts w:hint="eastAsia" w:ascii="黑体" w:hAnsi="黑体" w:eastAsia="黑体" w:cs="黑体"/>
          <w:bCs/>
          <w:kern w:val="0"/>
          <w:sz w:val="32"/>
          <w:szCs w:val="32"/>
        </w:rPr>
        <w:t>第三十四条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hint="eastAsia" w:ascii="仿宋" w:hAnsi="仿宋" w:eastAsia="仿宋" w:cs="宋体"/>
          <w:kern w:val="0"/>
          <w:sz w:val="32"/>
          <w:szCs w:val="32"/>
        </w:rPr>
        <w:t>市、县（市）区、乡（镇）人民政府、街道办事处和相关部门工作人员在秸秆露天禁烧和综合利用工作中，滥用职权、玩忽职守、徇私舞弊的，由有关机关依法给予处分；构成犯罪的，依法追究刑事责任。</w:t>
      </w:r>
    </w:p>
    <w:p>
      <w:pPr>
        <w:pStyle w:val="14"/>
        <w:keepNext w:val="0"/>
        <w:keepLines w:val="0"/>
        <w:pageBreakBefore w:val="0"/>
        <w:kinsoku/>
        <w:wordWrap/>
        <w:overflowPunct/>
        <w:topLinePunct w:val="0"/>
        <w:autoSpaceDE/>
        <w:autoSpaceDN/>
        <w:bidi w:val="0"/>
        <w:adjustRightInd/>
        <w:snapToGrid/>
        <w:spacing w:before="240" w:after="240"/>
        <w:ind w:firstLine="640" w:firstLineChars="200"/>
        <w:jc w:val="center"/>
        <w:rPr>
          <w:rFonts w:ascii="仿宋" w:hAnsi="仿宋" w:eastAsia="仿宋" w:cs="宋体"/>
          <w:kern w:val="0"/>
          <w:sz w:val="32"/>
          <w:szCs w:val="32"/>
        </w:rPr>
      </w:pPr>
      <w:r>
        <w:rPr>
          <w:rFonts w:hint="eastAsia" w:ascii="黑体" w:hAnsi="黑体" w:eastAsia="黑体" w:cs="黑体"/>
          <w:bCs/>
          <w:kern w:val="0"/>
          <w:sz w:val="32"/>
          <w:szCs w:val="32"/>
        </w:rPr>
        <w:t>第五章  附 则</w:t>
      </w:r>
    </w:p>
    <w:p>
      <w:pPr>
        <w:pStyle w:val="14"/>
        <w:keepNext w:val="0"/>
        <w:keepLines w:val="0"/>
        <w:pageBreakBefore w:val="0"/>
        <w:kinsoku/>
        <w:wordWrap/>
        <w:overflowPunct/>
        <w:topLinePunct w:val="0"/>
        <w:autoSpaceDE/>
        <w:autoSpaceDN/>
        <w:bidi w:val="0"/>
        <w:adjustRightInd/>
        <w:snapToGrid/>
        <w:spacing w:before="240" w:after="240"/>
        <w:ind w:firstLine="640" w:firstLineChars="200"/>
        <w:rPr>
          <w:rFonts w:ascii="仿宋_GB2312" w:eastAsia="仿宋_GB2312"/>
          <w:sz w:val="32"/>
          <w:szCs w:val="32"/>
        </w:rPr>
      </w:pPr>
      <w:bookmarkStart w:id="23" w:name="tiao_35_kuan_1"/>
      <w:bookmarkEnd w:id="23"/>
      <w:r>
        <w:rPr>
          <w:rFonts w:hint="eastAsia" w:ascii="黑体" w:hAnsi="黑体" w:eastAsia="黑体" w:cs="黑体"/>
          <w:bCs/>
          <w:kern w:val="0"/>
          <w:sz w:val="32"/>
          <w:szCs w:val="32"/>
        </w:rPr>
        <w:t>第三十五条</w:t>
      </w:r>
      <w:r>
        <w:rPr>
          <w:rFonts w:hint="eastAsia" w:ascii="仿宋" w:hAnsi="仿宋" w:eastAsia="仿宋" w:cs="Arial"/>
          <w:b/>
          <w:bCs/>
          <w:kern w:val="0"/>
          <w:sz w:val="32"/>
          <w:szCs w:val="32"/>
        </w:rPr>
        <w:t xml:space="preserve"> </w:t>
      </w:r>
      <w:r>
        <w:rPr>
          <w:rFonts w:ascii="仿宋" w:hAnsi="仿宋" w:eastAsia="仿宋" w:cs="Arial"/>
          <w:b/>
          <w:bCs/>
          <w:kern w:val="0"/>
          <w:sz w:val="32"/>
          <w:szCs w:val="32"/>
        </w:rPr>
        <w:t xml:space="preserve"> </w:t>
      </w:r>
      <w:r>
        <w:rPr>
          <w:rFonts w:ascii="仿宋" w:hAnsi="仿宋" w:eastAsia="仿宋" w:cs="Arial"/>
          <w:kern w:val="0"/>
          <w:sz w:val="32"/>
          <w:szCs w:val="32"/>
        </w:rPr>
        <w:t>本条例自2020年1月1日起施行。</w:t>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p>
    <w:sectPr>
      <w:footerReference r:id="rId3" w:type="default"/>
      <w:pgSz w:w="11906" w:h="16838"/>
      <w:pgMar w:top="1418" w:right="136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_GBK">
    <w:altName w:val="宋体"/>
    <w:panose1 w:val="03000509000000000000"/>
    <w:charset w:val="86"/>
    <w:family w:val="script"/>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7246688"/>
      <w:docPartObj>
        <w:docPartGallery w:val="AutoText"/>
      </w:docPartObj>
    </w:sdtPr>
    <w:sdtContent>
      <w:p>
        <w:pPr>
          <w:pStyle w:val="6"/>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31550"/>
    <w:multiLevelType w:val="multilevel"/>
    <w:tmpl w:val="07631550"/>
    <w:lvl w:ilvl="0" w:tentative="0">
      <w:start w:val="1"/>
      <w:numFmt w:val="japaneseCounting"/>
      <w:lvlText w:val="第%1条"/>
      <w:lvlJc w:val="left"/>
      <w:pPr>
        <w:ind w:left="1364" w:hanging="1080"/>
      </w:pPr>
      <w:rPr>
        <w:rFonts w:hint="default" w:ascii="黑体" w:hAnsi="黑体" w:eastAsia="黑体"/>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7E5B5E"/>
    <w:rsid w:val="000250A7"/>
    <w:rsid w:val="00031E2A"/>
    <w:rsid w:val="00057AB8"/>
    <w:rsid w:val="00061FDA"/>
    <w:rsid w:val="0007078F"/>
    <w:rsid w:val="00091FD1"/>
    <w:rsid w:val="00094DD8"/>
    <w:rsid w:val="000979A8"/>
    <w:rsid w:val="000A203B"/>
    <w:rsid w:val="000A572F"/>
    <w:rsid w:val="000B6860"/>
    <w:rsid w:val="000F0093"/>
    <w:rsid w:val="000F41BD"/>
    <w:rsid w:val="00151CD4"/>
    <w:rsid w:val="0017744A"/>
    <w:rsid w:val="001904C9"/>
    <w:rsid w:val="00192E30"/>
    <w:rsid w:val="001A671B"/>
    <w:rsid w:val="001C30BA"/>
    <w:rsid w:val="001E58B9"/>
    <w:rsid w:val="001E58BC"/>
    <w:rsid w:val="001F0C72"/>
    <w:rsid w:val="002010E4"/>
    <w:rsid w:val="00224C7E"/>
    <w:rsid w:val="0024443D"/>
    <w:rsid w:val="00276D60"/>
    <w:rsid w:val="00291060"/>
    <w:rsid w:val="00301659"/>
    <w:rsid w:val="003044B5"/>
    <w:rsid w:val="00310F0C"/>
    <w:rsid w:val="00385167"/>
    <w:rsid w:val="00397733"/>
    <w:rsid w:val="003C076E"/>
    <w:rsid w:val="003D6342"/>
    <w:rsid w:val="003D7B45"/>
    <w:rsid w:val="003E7050"/>
    <w:rsid w:val="003F0299"/>
    <w:rsid w:val="00416B2F"/>
    <w:rsid w:val="00454ABE"/>
    <w:rsid w:val="00480F5D"/>
    <w:rsid w:val="0051287D"/>
    <w:rsid w:val="00531541"/>
    <w:rsid w:val="00537A6A"/>
    <w:rsid w:val="00540B21"/>
    <w:rsid w:val="00542B18"/>
    <w:rsid w:val="0055376A"/>
    <w:rsid w:val="00554D54"/>
    <w:rsid w:val="005671A6"/>
    <w:rsid w:val="00587D75"/>
    <w:rsid w:val="005D3BF3"/>
    <w:rsid w:val="005F05DB"/>
    <w:rsid w:val="006012C2"/>
    <w:rsid w:val="006078C5"/>
    <w:rsid w:val="00614FC1"/>
    <w:rsid w:val="006545D2"/>
    <w:rsid w:val="00655817"/>
    <w:rsid w:val="00665547"/>
    <w:rsid w:val="006903C1"/>
    <w:rsid w:val="006B1ABD"/>
    <w:rsid w:val="006B3C58"/>
    <w:rsid w:val="006E694C"/>
    <w:rsid w:val="006F6E16"/>
    <w:rsid w:val="00733898"/>
    <w:rsid w:val="0073698C"/>
    <w:rsid w:val="00743A2B"/>
    <w:rsid w:val="0077791B"/>
    <w:rsid w:val="00794CA9"/>
    <w:rsid w:val="007E5B5E"/>
    <w:rsid w:val="007F743D"/>
    <w:rsid w:val="00810013"/>
    <w:rsid w:val="00814A2D"/>
    <w:rsid w:val="00823CBE"/>
    <w:rsid w:val="0085701A"/>
    <w:rsid w:val="00890788"/>
    <w:rsid w:val="008A0C2D"/>
    <w:rsid w:val="008A412F"/>
    <w:rsid w:val="008D4BFC"/>
    <w:rsid w:val="008D554A"/>
    <w:rsid w:val="008F0204"/>
    <w:rsid w:val="008F0D28"/>
    <w:rsid w:val="00935708"/>
    <w:rsid w:val="009534F2"/>
    <w:rsid w:val="00955BDD"/>
    <w:rsid w:val="009D00CF"/>
    <w:rsid w:val="00A4006D"/>
    <w:rsid w:val="00A505A8"/>
    <w:rsid w:val="00A56203"/>
    <w:rsid w:val="00A7627D"/>
    <w:rsid w:val="00AA1943"/>
    <w:rsid w:val="00AB566C"/>
    <w:rsid w:val="00AE0D35"/>
    <w:rsid w:val="00B24D85"/>
    <w:rsid w:val="00B643D2"/>
    <w:rsid w:val="00B656BA"/>
    <w:rsid w:val="00B75422"/>
    <w:rsid w:val="00B80FA4"/>
    <w:rsid w:val="00B8332B"/>
    <w:rsid w:val="00C031DE"/>
    <w:rsid w:val="00C04F1B"/>
    <w:rsid w:val="00C07F11"/>
    <w:rsid w:val="00C21DAE"/>
    <w:rsid w:val="00C304EE"/>
    <w:rsid w:val="00C35448"/>
    <w:rsid w:val="00C37B2B"/>
    <w:rsid w:val="00C37DE6"/>
    <w:rsid w:val="00C442D0"/>
    <w:rsid w:val="00C94B9A"/>
    <w:rsid w:val="00CC1F93"/>
    <w:rsid w:val="00CD092D"/>
    <w:rsid w:val="00CE0F15"/>
    <w:rsid w:val="00CE1EA4"/>
    <w:rsid w:val="00CF7F13"/>
    <w:rsid w:val="00D041E8"/>
    <w:rsid w:val="00D11845"/>
    <w:rsid w:val="00D20981"/>
    <w:rsid w:val="00D266E6"/>
    <w:rsid w:val="00D315EA"/>
    <w:rsid w:val="00D4195B"/>
    <w:rsid w:val="00D46636"/>
    <w:rsid w:val="00D501BF"/>
    <w:rsid w:val="00D5205C"/>
    <w:rsid w:val="00D52B12"/>
    <w:rsid w:val="00D55664"/>
    <w:rsid w:val="00D6364F"/>
    <w:rsid w:val="00D75B95"/>
    <w:rsid w:val="00D93E7E"/>
    <w:rsid w:val="00DE2270"/>
    <w:rsid w:val="00DE25AB"/>
    <w:rsid w:val="00DE6BF8"/>
    <w:rsid w:val="00E0445F"/>
    <w:rsid w:val="00E336E6"/>
    <w:rsid w:val="00E413C7"/>
    <w:rsid w:val="00E47004"/>
    <w:rsid w:val="00E628C2"/>
    <w:rsid w:val="00E62CBC"/>
    <w:rsid w:val="00E62DBE"/>
    <w:rsid w:val="00E76E77"/>
    <w:rsid w:val="00E9115E"/>
    <w:rsid w:val="00ED7679"/>
    <w:rsid w:val="00F01ADF"/>
    <w:rsid w:val="00F04EFE"/>
    <w:rsid w:val="00F82D2A"/>
    <w:rsid w:val="00FA38A4"/>
    <w:rsid w:val="00FB0725"/>
    <w:rsid w:val="00FB33EE"/>
    <w:rsid w:val="00FB3482"/>
    <w:rsid w:val="00FB3C21"/>
    <w:rsid w:val="00FC688E"/>
    <w:rsid w:val="00FD4B5B"/>
    <w:rsid w:val="0889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jc w:val="center"/>
      <w:outlineLvl w:val="0"/>
    </w:pPr>
    <w:rPr>
      <w:rFonts w:eastAsia="方正大标宋_GBK"/>
      <w:bCs/>
      <w:kern w:val="44"/>
      <w:sz w:val="44"/>
      <w:szCs w:val="44"/>
    </w:rPr>
  </w:style>
  <w:style w:type="paragraph" w:styleId="3">
    <w:name w:val="heading 2"/>
    <w:basedOn w:val="1"/>
    <w:next w:val="1"/>
    <w:link w:val="11"/>
    <w:qFormat/>
    <w:uiPriority w:val="9"/>
    <w:pPr>
      <w:spacing w:before="100" w:beforeAutospacing="1" w:after="100" w:afterAutospacing="1"/>
      <w:jc w:val="center"/>
      <w:outlineLvl w:val="1"/>
    </w:pPr>
    <w:rPr>
      <w:rFonts w:ascii="宋体" w:hAnsi="宋体" w:eastAsia="方正大标宋_GBK" w:cs="宋体"/>
      <w:bCs/>
      <w:sz w:val="44"/>
      <w:szCs w:val="36"/>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7"/>
    <w:unhideWhenUsed/>
    <w:qFormat/>
    <w:uiPriority w:val="99"/>
    <w:pPr>
      <w:jc w:val="left"/>
    </w:pPr>
  </w:style>
  <w:style w:type="paragraph" w:styleId="5">
    <w:name w:val="Plain Text"/>
    <w:basedOn w:val="1"/>
    <w:link w:val="16"/>
    <w:qFormat/>
    <w:uiPriority w:val="99"/>
    <w:rPr>
      <w:rFonts w:hAnsi="Courier New" w:eastAsia="仿宋_GB2312" w:cs="Courier New"/>
      <w:sz w:val="32"/>
      <w:szCs w:val="21"/>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3"/>
    <w:qFormat/>
    <w:uiPriority w:val="0"/>
    <w:pPr>
      <w:spacing w:before="240" w:after="60"/>
      <w:jc w:val="center"/>
      <w:outlineLvl w:val="0"/>
    </w:pPr>
    <w:rPr>
      <w:rFonts w:eastAsia="方正大标宋_GBK" w:asciiTheme="majorHAnsi" w:hAnsiTheme="majorHAnsi" w:cstheme="majorBidi"/>
      <w:b/>
      <w:bCs/>
      <w:sz w:val="44"/>
      <w:szCs w:val="32"/>
    </w:rPr>
  </w:style>
  <w:style w:type="character" w:customStyle="1" w:styleId="11">
    <w:name w:val="标题 2 Char"/>
    <w:basedOn w:val="10"/>
    <w:link w:val="3"/>
    <w:qFormat/>
    <w:uiPriority w:val="9"/>
    <w:rPr>
      <w:rFonts w:ascii="宋体" w:hAnsi="宋体" w:eastAsia="方正大标宋_GBK" w:cs="宋体"/>
      <w:bCs/>
      <w:sz w:val="44"/>
      <w:szCs w:val="36"/>
    </w:rPr>
  </w:style>
  <w:style w:type="character" w:customStyle="1" w:styleId="12">
    <w:name w:val="标题 1 Char"/>
    <w:basedOn w:val="10"/>
    <w:link w:val="2"/>
    <w:uiPriority w:val="9"/>
    <w:rPr>
      <w:rFonts w:eastAsia="方正大标宋_GBK"/>
      <w:bCs/>
      <w:kern w:val="44"/>
      <w:sz w:val="44"/>
      <w:szCs w:val="44"/>
    </w:rPr>
  </w:style>
  <w:style w:type="character" w:customStyle="1" w:styleId="13">
    <w:name w:val="标题 Char"/>
    <w:basedOn w:val="10"/>
    <w:link w:val="8"/>
    <w:uiPriority w:val="0"/>
    <w:rPr>
      <w:rFonts w:eastAsia="方正大标宋_GBK" w:asciiTheme="majorHAnsi" w:hAnsiTheme="majorHAnsi" w:cstheme="majorBidi"/>
      <w:b/>
      <w:bCs/>
      <w:sz w:val="44"/>
      <w:szCs w:val="32"/>
    </w:rPr>
  </w:style>
  <w:style w:type="paragraph" w:styleId="14">
    <w:name w:val="List Paragraph"/>
    <w:basedOn w:val="1"/>
    <w:qFormat/>
    <w:uiPriority w:val="34"/>
    <w:pPr>
      <w:ind w:firstLine="420" w:firstLineChars="200"/>
    </w:pPr>
  </w:style>
  <w:style w:type="character" w:customStyle="1" w:styleId="15">
    <w:name w:val="纯文本 Char"/>
    <w:basedOn w:val="10"/>
    <w:link w:val="5"/>
    <w:semiHidden/>
    <w:uiPriority w:val="99"/>
    <w:rPr>
      <w:rFonts w:ascii="宋体" w:hAnsi="Courier New" w:eastAsia="宋体" w:cs="Courier New"/>
      <w:szCs w:val="21"/>
    </w:rPr>
  </w:style>
  <w:style w:type="character" w:customStyle="1" w:styleId="16">
    <w:name w:val="纯文本 Char1"/>
    <w:link w:val="5"/>
    <w:uiPriority w:val="0"/>
    <w:rPr>
      <w:rFonts w:ascii="Calibri" w:hAnsi="Courier New" w:eastAsia="仿宋_GB2312" w:cs="Courier New"/>
      <w:sz w:val="32"/>
      <w:szCs w:val="21"/>
    </w:rPr>
  </w:style>
  <w:style w:type="character" w:customStyle="1" w:styleId="17">
    <w:name w:val="批注文字 Char"/>
    <w:basedOn w:val="10"/>
    <w:link w:val="4"/>
    <w:uiPriority w:val="99"/>
    <w:rPr>
      <w:rFonts w:ascii="Calibri" w:hAnsi="Calibri" w:eastAsia="宋体" w:cs="Times New Roman"/>
      <w:szCs w:val="24"/>
    </w:rPr>
  </w:style>
  <w:style w:type="character" w:customStyle="1" w:styleId="18">
    <w:name w:val="页眉 Char"/>
    <w:basedOn w:val="10"/>
    <w:link w:val="7"/>
    <w:semiHidden/>
    <w:uiPriority w:val="99"/>
    <w:rPr>
      <w:rFonts w:ascii="Calibri" w:hAnsi="Calibri" w:eastAsia="宋体" w:cs="Times New Roman"/>
      <w:sz w:val="18"/>
      <w:szCs w:val="18"/>
    </w:rPr>
  </w:style>
  <w:style w:type="character" w:customStyle="1" w:styleId="19">
    <w:name w:val="页脚 Char"/>
    <w:basedOn w:val="10"/>
    <w:link w:val="6"/>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96816-54BA-40F3-8C1E-25916C34AD89}">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10</Pages>
  <Words>4034</Words>
  <Characters>4056</Characters>
  <Lines>33</Lines>
  <Paragraphs>9</Paragraphs>
  <TotalTime>37</TotalTime>
  <ScaleCrop>false</ScaleCrop>
  <LinksUpToDate>false</LinksUpToDate>
  <CharactersWithSpaces>4150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2022-12-08T02:16:00Z</dcterms:created>
  <dc:creator>hp</dc:creator>
  <cp:lastModifiedBy>PC400</cp:lastModifiedBy>
  <cp:lastPrinted>2022-06-21T07:15:00Z</cp:lastPrinted>
  <dcterms:modified xsi:type="dcterms:W3CDTF">2023-03-02T03:39:02Z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94D8B4E24A3C431A985856E5061BA0C9</vt:lpwstr>
  </property>
</Properties>
</file>