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凉山彝族自治州人民代表大会关于废止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《凉山彝族自治州泸沽湖风景名胜区</w:t>
      </w:r>
    </w:p>
    <w:p>
      <w:pPr>
        <w:jc w:val="center"/>
      </w:pPr>
      <w:r>
        <w:rPr>
          <w:rFonts w:ascii="宋体" w:hAnsi="宋体" w:eastAsia="宋体"/>
          <w:sz w:val="44"/>
        </w:rPr>
        <w:t>保护条例》的决定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（2024年2月3日凉山彝族自治州</w:t>
      </w:r>
      <w:r>
        <w:rPr>
          <w:rFonts w:ascii="楷体_GB2312" w:hAnsi="楷体_GB2312" w:eastAsia="楷体_GB2312"/>
          <w:sz w:val="32"/>
        </w:rPr>
        <w:t>第十二届人民代表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楷体_GB2312" w:hAnsi="楷体_GB2312" w:eastAsia="楷体_GB2312"/>
          <w:sz w:val="32"/>
        </w:rPr>
        <w:t>大会第三次会议通过</w:t>
      </w:r>
      <w:r>
        <w:rPr>
          <w:rFonts w:ascii="Times New Roman" w:hAnsi="Times New Roman" w:eastAsia="楷体_GB2312"/>
          <w:sz w:val="32"/>
        </w:rPr>
        <w:t>　2024年4月3日四川省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楷体_GB2312" w:hAnsi="楷体_GB2312" w:eastAsia="楷体_GB2312"/>
          <w:sz w:val="32"/>
        </w:rPr>
        <w:t>第十四届人民代表大会常务委员会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bookmarkStart w:id="0" w:name="_GoBack"/>
      <w:bookmarkEnd w:id="0"/>
      <w:r>
        <w:rPr>
          <w:rFonts w:ascii="楷体_GB2312" w:hAnsi="楷体_GB2312" w:eastAsia="楷体_GB2312"/>
          <w:sz w:val="32"/>
        </w:rPr>
        <w:t>第十一次会议批准）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凉山彝族自治州第十二届人民代表大会第三次会议决定：废止《凉山彝族自治州泸沽湖风景名胜区保护条例》。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0E601E45"/>
    <w:rsid w:val="11E4354D"/>
    <w:rsid w:val="16DC7373"/>
    <w:rsid w:val="344634A2"/>
    <w:rsid w:val="3B5A363D"/>
    <w:rsid w:val="3DE63740"/>
    <w:rsid w:val="481351D2"/>
    <w:rsid w:val="53543565"/>
    <w:rsid w:val="552C79A0"/>
    <w:rsid w:val="558A062C"/>
    <w:rsid w:val="622F12CF"/>
    <w:rsid w:val="653E08AD"/>
    <w:rsid w:val="71B9247E"/>
    <w:rsid w:val="7EF7453C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2024-05-21T09:37:01Z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