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8F4" w:rsidRDefault="005A28F4" w:rsidP="005A28F4">
      <w:pPr>
        <w:adjustRightInd w:val="0"/>
        <w:snapToGrid w:val="0"/>
        <w:spacing w:line="580" w:lineRule="exact"/>
        <w:jc w:val="center"/>
        <w:rPr>
          <w:rFonts w:asciiTheme="majorEastAsia" w:eastAsiaTheme="majorEastAsia" w:hAnsiTheme="majorEastAsia" w:cs="Times New Roman"/>
          <w:kern w:val="0"/>
          <w:sz w:val="44"/>
          <w:szCs w:val="44"/>
        </w:rPr>
      </w:pPr>
    </w:p>
    <w:p w:rsidR="005A28F4" w:rsidRDefault="005A28F4" w:rsidP="005A28F4">
      <w:pPr>
        <w:adjustRightInd w:val="0"/>
        <w:snapToGrid w:val="0"/>
        <w:spacing w:line="580" w:lineRule="exact"/>
        <w:jc w:val="center"/>
        <w:rPr>
          <w:rFonts w:asciiTheme="majorEastAsia" w:eastAsiaTheme="majorEastAsia" w:hAnsiTheme="majorEastAsia" w:cs="Times New Roman"/>
          <w:kern w:val="0"/>
          <w:sz w:val="44"/>
          <w:szCs w:val="44"/>
        </w:rPr>
      </w:pPr>
    </w:p>
    <w:p w:rsidR="00D4336E" w:rsidRPr="005A28F4" w:rsidRDefault="001E22F4" w:rsidP="005A28F4">
      <w:pPr>
        <w:adjustRightInd w:val="0"/>
        <w:snapToGrid w:val="0"/>
        <w:spacing w:line="580" w:lineRule="exact"/>
        <w:jc w:val="center"/>
        <w:rPr>
          <w:rFonts w:asciiTheme="majorEastAsia" w:eastAsiaTheme="majorEastAsia" w:hAnsiTheme="majorEastAsia" w:cs="Times New Roman"/>
          <w:kern w:val="0"/>
          <w:sz w:val="44"/>
          <w:szCs w:val="44"/>
        </w:rPr>
      </w:pPr>
      <w:r w:rsidRPr="005A28F4">
        <w:rPr>
          <w:rFonts w:asciiTheme="majorEastAsia" w:eastAsiaTheme="majorEastAsia" w:hAnsiTheme="majorEastAsia" w:cs="Times New Roman" w:hint="eastAsia"/>
          <w:kern w:val="0"/>
          <w:sz w:val="44"/>
          <w:szCs w:val="44"/>
        </w:rPr>
        <w:t>四川省《中华人民共和国文物保护法》</w:t>
      </w:r>
    </w:p>
    <w:p w:rsidR="001E22F4" w:rsidRDefault="001E22F4" w:rsidP="005A28F4">
      <w:pPr>
        <w:adjustRightInd w:val="0"/>
        <w:snapToGrid w:val="0"/>
        <w:spacing w:line="580" w:lineRule="exact"/>
        <w:jc w:val="center"/>
        <w:rPr>
          <w:rFonts w:asciiTheme="majorEastAsia" w:eastAsiaTheme="majorEastAsia" w:hAnsiTheme="majorEastAsia" w:cs="Times New Roman"/>
          <w:kern w:val="0"/>
          <w:sz w:val="44"/>
          <w:szCs w:val="44"/>
        </w:rPr>
      </w:pPr>
      <w:r w:rsidRPr="005A28F4">
        <w:rPr>
          <w:rFonts w:asciiTheme="majorEastAsia" w:eastAsiaTheme="majorEastAsia" w:hAnsiTheme="majorEastAsia" w:cs="Times New Roman" w:hint="eastAsia"/>
          <w:kern w:val="0"/>
          <w:sz w:val="44"/>
          <w:szCs w:val="44"/>
        </w:rPr>
        <w:t>实施办法</w:t>
      </w:r>
    </w:p>
    <w:p w:rsidR="005A28F4" w:rsidRDefault="005A28F4" w:rsidP="005A28F4">
      <w:pPr>
        <w:shd w:val="clear" w:color="auto" w:fill="FFFFFF"/>
        <w:tabs>
          <w:tab w:val="center" w:pos="4156"/>
          <w:tab w:val="right" w:pos="8312"/>
        </w:tabs>
        <w:adjustRightInd w:val="0"/>
        <w:snapToGrid w:val="0"/>
        <w:spacing w:line="580" w:lineRule="exact"/>
        <w:ind w:leftChars="300" w:left="630" w:rightChars="300" w:right="630" w:firstLineChars="200" w:firstLine="640"/>
        <w:jc w:val="center"/>
        <w:rPr>
          <w:rFonts w:ascii="楷体_GB2312" w:eastAsia="楷体_GB2312"/>
          <w:sz w:val="32"/>
          <w:szCs w:val="32"/>
          <w:shd w:val="clear" w:color="auto" w:fill="FFFFFF"/>
        </w:rPr>
      </w:pPr>
    </w:p>
    <w:p w:rsidR="00CD0B51" w:rsidRPr="005A28F4" w:rsidRDefault="00ED2C6B" w:rsidP="00ED2C6B">
      <w:pPr>
        <w:shd w:val="clear" w:color="auto" w:fill="FFFFFF"/>
        <w:tabs>
          <w:tab w:val="center" w:pos="4156"/>
          <w:tab w:val="right" w:pos="8312"/>
        </w:tabs>
        <w:adjustRightInd w:val="0"/>
        <w:snapToGrid w:val="0"/>
        <w:spacing w:line="580" w:lineRule="exact"/>
        <w:ind w:leftChars="300" w:left="630" w:rightChars="300" w:right="630"/>
        <w:rPr>
          <w:rFonts w:ascii="楷体_GB2312" w:eastAsia="楷体_GB2312"/>
          <w:sz w:val="32"/>
          <w:szCs w:val="32"/>
          <w:shd w:val="clear" w:color="auto" w:fill="FFFFFF"/>
        </w:rPr>
      </w:pPr>
      <w:r>
        <w:rPr>
          <w:rFonts w:ascii="楷体_GB2312" w:eastAsia="楷体_GB2312" w:hint="eastAsia"/>
          <w:sz w:val="32"/>
          <w:szCs w:val="32"/>
          <w:shd w:val="clear" w:color="auto" w:fill="FFFFFF"/>
        </w:rPr>
        <w:t>（</w:t>
      </w:r>
      <w:r w:rsidR="001E22F4" w:rsidRPr="005A28F4">
        <w:rPr>
          <w:rFonts w:ascii="楷体_GB2312" w:eastAsia="楷体_GB2312" w:hint="eastAsia"/>
          <w:sz w:val="32"/>
          <w:szCs w:val="32"/>
          <w:shd w:val="clear" w:color="auto" w:fill="FFFFFF"/>
        </w:rPr>
        <w:t>2006年5月26</w:t>
      </w:r>
      <w:r w:rsidR="00CD0B51" w:rsidRPr="005A28F4">
        <w:rPr>
          <w:rFonts w:ascii="楷体_GB2312" w:eastAsia="楷体_GB2312" w:hint="eastAsia"/>
          <w:sz w:val="32"/>
          <w:szCs w:val="32"/>
          <w:shd w:val="clear" w:color="auto" w:fill="FFFFFF"/>
        </w:rPr>
        <w:t>日四川省第十届人民代表大会常务委</w:t>
      </w:r>
      <w:bookmarkStart w:id="0" w:name="_GoBack"/>
      <w:bookmarkEnd w:id="0"/>
      <w:r w:rsidR="00CD0B51" w:rsidRPr="005A28F4">
        <w:rPr>
          <w:rFonts w:ascii="楷体_GB2312" w:eastAsia="楷体_GB2312" w:hint="eastAsia"/>
          <w:sz w:val="32"/>
          <w:szCs w:val="32"/>
          <w:shd w:val="clear" w:color="auto" w:fill="FFFFFF"/>
        </w:rPr>
        <w:t>员会第二十一次会议通过</w:t>
      </w:r>
      <w:r>
        <w:rPr>
          <w:rFonts w:ascii="楷体_GB2312" w:eastAsia="楷体_GB2312" w:hint="eastAsia"/>
          <w:sz w:val="32"/>
          <w:szCs w:val="32"/>
          <w:shd w:val="clear" w:color="auto" w:fill="FFFFFF"/>
        </w:rPr>
        <w:t xml:space="preserve">  </w:t>
      </w:r>
      <w:r w:rsidR="00D13E4F" w:rsidRPr="005A28F4">
        <w:rPr>
          <w:rFonts w:ascii="楷体_GB2312" w:eastAsia="楷体_GB2312" w:hint="eastAsia"/>
          <w:sz w:val="32"/>
          <w:szCs w:val="32"/>
          <w:shd w:val="clear" w:color="auto" w:fill="FFFFFF"/>
        </w:rPr>
        <w:t>根据2014年7月30日四川省第十二届人民代表大会常务委员会第十次会议</w:t>
      </w:r>
      <w:proofErr w:type="gramStart"/>
      <w:r w:rsidR="00D13E4F" w:rsidRPr="005A28F4">
        <w:rPr>
          <w:rFonts w:ascii="楷体_GB2312" w:eastAsia="楷体_GB2312" w:hint="eastAsia"/>
          <w:sz w:val="32"/>
          <w:szCs w:val="32"/>
          <w:shd w:val="clear" w:color="auto" w:fill="FFFFFF"/>
        </w:rPr>
        <w:t>《</w:t>
      </w:r>
      <w:proofErr w:type="gramEnd"/>
      <w:r w:rsidR="00D13E4F" w:rsidRPr="005A28F4">
        <w:rPr>
          <w:rFonts w:ascii="楷体_GB2312" w:eastAsia="楷体_GB2312" w:hint="eastAsia"/>
          <w:sz w:val="32"/>
          <w:szCs w:val="32"/>
          <w:shd w:val="clear" w:color="auto" w:fill="FFFFFF"/>
        </w:rPr>
        <w:t>关于修改&lt;四川省</w:t>
      </w:r>
      <w:proofErr w:type="gramStart"/>
      <w:r w:rsidR="00D13E4F" w:rsidRPr="005A28F4">
        <w:rPr>
          <w:rFonts w:ascii="楷体_GB2312" w:eastAsia="楷体_GB2312" w:hint="eastAsia"/>
          <w:sz w:val="32"/>
          <w:szCs w:val="32"/>
          <w:shd w:val="clear" w:color="auto" w:fill="FFFFFF"/>
        </w:rPr>
        <w:t>《</w:t>
      </w:r>
      <w:proofErr w:type="gramEnd"/>
      <w:r w:rsidR="00D13E4F" w:rsidRPr="005A28F4">
        <w:rPr>
          <w:rFonts w:ascii="楷体_GB2312" w:eastAsia="楷体_GB2312" w:hint="eastAsia"/>
          <w:sz w:val="32"/>
          <w:szCs w:val="32"/>
          <w:shd w:val="clear" w:color="auto" w:fill="FFFFFF"/>
        </w:rPr>
        <w:t>中华人民共和国文物保护法</w:t>
      </w:r>
      <w:proofErr w:type="gramStart"/>
      <w:r w:rsidR="00D13E4F" w:rsidRPr="005A28F4">
        <w:rPr>
          <w:rFonts w:ascii="楷体_GB2312" w:eastAsia="楷体_GB2312" w:hint="eastAsia"/>
          <w:sz w:val="32"/>
          <w:szCs w:val="32"/>
          <w:shd w:val="clear" w:color="auto" w:fill="FFFFFF"/>
        </w:rPr>
        <w:t>》</w:t>
      </w:r>
      <w:proofErr w:type="gramEnd"/>
      <w:r w:rsidR="00D13E4F" w:rsidRPr="005A28F4">
        <w:rPr>
          <w:rFonts w:ascii="楷体_GB2312" w:eastAsia="楷体_GB2312" w:hint="eastAsia"/>
          <w:sz w:val="32"/>
          <w:szCs w:val="32"/>
          <w:shd w:val="clear" w:color="auto" w:fill="FFFFFF"/>
        </w:rPr>
        <w:t>实施办法&gt;的决定</w:t>
      </w:r>
      <w:proofErr w:type="gramStart"/>
      <w:r w:rsidR="00D13E4F" w:rsidRPr="005A28F4">
        <w:rPr>
          <w:rFonts w:ascii="楷体_GB2312" w:eastAsia="楷体_GB2312" w:hint="eastAsia"/>
          <w:sz w:val="32"/>
          <w:szCs w:val="32"/>
          <w:shd w:val="clear" w:color="auto" w:fill="FFFFFF"/>
        </w:rPr>
        <w:t>》</w:t>
      </w:r>
      <w:proofErr w:type="gramEnd"/>
      <w:r w:rsidR="00D13E4F" w:rsidRPr="005A28F4">
        <w:rPr>
          <w:rFonts w:ascii="楷体_GB2312" w:eastAsia="楷体_GB2312" w:hint="eastAsia"/>
          <w:sz w:val="32"/>
          <w:szCs w:val="32"/>
          <w:shd w:val="clear" w:color="auto" w:fill="FFFFFF"/>
        </w:rPr>
        <w:t>第一次修正</w:t>
      </w:r>
      <w:r>
        <w:rPr>
          <w:rFonts w:ascii="楷体_GB2312" w:eastAsia="楷体_GB2312" w:hint="eastAsia"/>
          <w:sz w:val="32"/>
          <w:szCs w:val="32"/>
          <w:shd w:val="clear" w:color="auto" w:fill="FFFFFF"/>
        </w:rPr>
        <w:t xml:space="preserve"> </w:t>
      </w:r>
      <w:r w:rsidR="00D13E4F" w:rsidRPr="005A28F4">
        <w:rPr>
          <w:rFonts w:ascii="楷体_GB2312" w:eastAsia="楷体_GB2312" w:hint="eastAsia"/>
          <w:sz w:val="32"/>
          <w:szCs w:val="32"/>
          <w:shd w:val="clear" w:color="auto" w:fill="FFFFFF"/>
        </w:rPr>
        <w:t xml:space="preserve"> 根据2018年7月26日四川省第十三届人民代表大会常务委员会第五次会议</w:t>
      </w:r>
      <w:proofErr w:type="gramStart"/>
      <w:r w:rsidR="00D13E4F" w:rsidRPr="005A28F4">
        <w:rPr>
          <w:rFonts w:ascii="楷体_GB2312" w:eastAsia="楷体_GB2312" w:hint="eastAsia"/>
          <w:sz w:val="32"/>
          <w:szCs w:val="32"/>
          <w:shd w:val="clear" w:color="auto" w:fill="FFFFFF"/>
        </w:rPr>
        <w:t>《</w:t>
      </w:r>
      <w:proofErr w:type="gramEnd"/>
      <w:r w:rsidR="00D13E4F" w:rsidRPr="005A28F4">
        <w:rPr>
          <w:rFonts w:ascii="楷体_GB2312" w:eastAsia="楷体_GB2312" w:hint="eastAsia"/>
          <w:sz w:val="32"/>
          <w:szCs w:val="32"/>
          <w:shd w:val="clear" w:color="auto" w:fill="FFFFFF"/>
        </w:rPr>
        <w:t>关于修改&lt;四川省</w:t>
      </w:r>
      <w:proofErr w:type="gramStart"/>
      <w:r w:rsidR="00D13E4F" w:rsidRPr="005A28F4">
        <w:rPr>
          <w:rFonts w:ascii="楷体_GB2312" w:eastAsia="楷体_GB2312" w:hint="eastAsia"/>
          <w:sz w:val="32"/>
          <w:szCs w:val="32"/>
          <w:shd w:val="clear" w:color="auto" w:fill="FFFFFF"/>
        </w:rPr>
        <w:t>《</w:t>
      </w:r>
      <w:proofErr w:type="gramEnd"/>
      <w:r w:rsidR="00D13E4F" w:rsidRPr="005A28F4">
        <w:rPr>
          <w:rFonts w:ascii="楷体_GB2312" w:eastAsia="楷体_GB2312" w:hint="eastAsia"/>
          <w:sz w:val="32"/>
          <w:szCs w:val="32"/>
          <w:shd w:val="clear" w:color="auto" w:fill="FFFFFF"/>
        </w:rPr>
        <w:t>中华人民共和国文物保护法</w:t>
      </w:r>
      <w:proofErr w:type="gramStart"/>
      <w:r w:rsidR="00D13E4F" w:rsidRPr="005A28F4">
        <w:rPr>
          <w:rFonts w:ascii="楷体_GB2312" w:eastAsia="楷体_GB2312" w:hint="eastAsia"/>
          <w:sz w:val="32"/>
          <w:szCs w:val="32"/>
          <w:shd w:val="clear" w:color="auto" w:fill="FFFFFF"/>
        </w:rPr>
        <w:t>》</w:t>
      </w:r>
      <w:proofErr w:type="gramEnd"/>
      <w:r w:rsidR="00D13E4F" w:rsidRPr="005A28F4">
        <w:rPr>
          <w:rFonts w:ascii="楷体_GB2312" w:eastAsia="楷体_GB2312" w:hint="eastAsia"/>
          <w:sz w:val="32"/>
          <w:szCs w:val="32"/>
          <w:shd w:val="clear" w:color="auto" w:fill="FFFFFF"/>
        </w:rPr>
        <w:t>实施办法&gt;的决定</w:t>
      </w:r>
      <w:proofErr w:type="gramStart"/>
      <w:r w:rsidR="00D13E4F" w:rsidRPr="005A28F4">
        <w:rPr>
          <w:rFonts w:ascii="楷体_GB2312" w:eastAsia="楷体_GB2312" w:hint="eastAsia"/>
          <w:sz w:val="32"/>
          <w:szCs w:val="32"/>
          <w:shd w:val="clear" w:color="auto" w:fill="FFFFFF"/>
        </w:rPr>
        <w:t>》</w:t>
      </w:r>
      <w:proofErr w:type="gramEnd"/>
      <w:r w:rsidR="00D13E4F" w:rsidRPr="005A28F4">
        <w:rPr>
          <w:rFonts w:ascii="楷体_GB2312" w:eastAsia="楷体_GB2312" w:hint="eastAsia"/>
          <w:sz w:val="32"/>
          <w:szCs w:val="32"/>
          <w:shd w:val="clear" w:color="auto" w:fill="FFFFFF"/>
        </w:rPr>
        <w:t>第二次修正</w:t>
      </w:r>
      <w:r>
        <w:rPr>
          <w:rFonts w:ascii="楷体_GB2312" w:eastAsia="楷体_GB2312" w:hint="eastAsia"/>
          <w:sz w:val="32"/>
          <w:szCs w:val="32"/>
          <w:shd w:val="clear" w:color="auto" w:fill="FFFFFF"/>
        </w:rPr>
        <w:t>）</w:t>
      </w:r>
    </w:p>
    <w:p w:rsidR="00CD0B51" w:rsidRPr="005A28F4" w:rsidRDefault="00CD0B51" w:rsidP="005A28F4">
      <w:pPr>
        <w:adjustRightInd w:val="0"/>
        <w:snapToGrid w:val="0"/>
        <w:spacing w:line="580" w:lineRule="exact"/>
        <w:ind w:firstLineChars="150" w:firstLine="450"/>
        <w:rPr>
          <w:rFonts w:ascii="楷体_GB2312" w:eastAsia="楷体_GB2312"/>
          <w:sz w:val="30"/>
          <w:szCs w:val="30"/>
        </w:rPr>
      </w:pP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黑体" w:eastAsia="黑体" w:hAnsi="黑体" w:cs="Times New Roman" w:hint="eastAsia"/>
          <w:bCs/>
          <w:sz w:val="32"/>
          <w:szCs w:val="32"/>
        </w:rPr>
        <w:t>第一条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根据《中华人民共和国文物保护法》、《中华人民共和国文物保护法实施条例》等有关法律、法规，结合四川省实际，制定本实施办法。</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省文物行政主管部门主管全省文物保护工作。</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地方各级人民政府负责本行政区域内的文物保护工作。各级文物行政主管部门对本行政区域内的文物保护实施监督管理。</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县级以上地方人民政府发展改革、公安、国土资源、建设、交通、水利、工商、旅游、宗教、规划等部门和海关，在各自</w:t>
      </w:r>
      <w:r w:rsidRPr="005A28F4">
        <w:rPr>
          <w:rFonts w:ascii="仿宋_GB2312" w:eastAsia="仿宋_GB2312" w:hAnsi="Times New Roman" w:cs="Times New Roman" w:hint="eastAsia"/>
          <w:sz w:val="32"/>
          <w:szCs w:val="32"/>
        </w:rPr>
        <w:lastRenderedPageBreak/>
        <w:t>的职责范围内，依法做好文物保护工作。</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各级文物行政主管部门和教育、科技、新闻出版、广播电视等部门应当做好文物保护的宣传教育工作，增强公民的文物保护意识。</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第三条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县级以上地方人民政府应当将文物保护事业经费列入财政预算，并随着财政收入的增长而增加。</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任何单位和个人不得侵占、截留、挪用文物保护经费。</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第四条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国家所有的文物，由保管或者使用该文物的单位承担保护责任。</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不得将国有博物馆、纪念馆和文物收藏单位作为企业资产经营。不得擅自改变文物保护单位的管理体制和用途。</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集体、个人所有的纪念建筑物、古建筑、祖传文物以及其他依法取得的文物，由所有人、使用人承担保护责任。</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第五条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地方各级人民政府扶持和发展博物馆事业，鼓励公民、法人和其他组织依法设立博物馆。</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省文物行政主管部门负责本省行政区域内博物馆设立的审核工作。</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第六条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地方各级人民政府应当组织制定和实施重大文物安全事故的防范和应急预案，建立定期检查、定期报告制度和文物安全责任制度，及时消除文物安全隐患，避免重大文物安全事故的发生。</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各级文物行政主管部门应当根据辖区内国有文物收藏单位</w:t>
      </w:r>
      <w:r w:rsidRPr="005A28F4">
        <w:rPr>
          <w:rFonts w:ascii="仿宋_GB2312" w:eastAsia="仿宋_GB2312" w:hAnsi="Times New Roman" w:cs="Times New Roman" w:hint="eastAsia"/>
          <w:sz w:val="32"/>
          <w:szCs w:val="32"/>
        </w:rPr>
        <w:lastRenderedPageBreak/>
        <w:t>馆藏文物的级别，负责制定并落实相应的安全措施，防止人为和自然破坏，确保文物安全。</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文物展出，展出单位应当根据展出文物的级别制定并落实安全措施。</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第七条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下列情形属于重大文物安全事故：</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（一）全国重点文物保护单位和省级文物保护单位发生文物被盗、火灾，或者因人为破坏致使文物损坏的；</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（二）文物收藏单位发生珍贵文物或者多件一般文物被盗、损毁、流失的；</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（三）考古工地发生文物被盗、损毁、流失的；</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（四）建设工程施工单位在施工中发现文物后，不及时报告当地文物行政主管部门，致使文物遭到严重破坏，或者文物被哄抢、私分、藏匿，造成文物损失的；</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（五）擅自进行考古勘探、发掘，或者虽经批准却不按规定进行考古勘探、发掘，对古遗址、古墓葬造成破坏或者文物流失的。</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第八条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重大文物安全事故发生后，当地人民政府应当按照重大文物安全事故防范和应急预案，组织有关部门立即实施抢救工作，并按照规定的时限和程序上报，不得隐瞒不报、谎报或者延迟报告。</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第九条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省文物行政主管部门在市级、县级文物保护单位中，选择具有重要历史、艺术、科学价值的不可移动文物确定</w:t>
      </w:r>
      <w:r w:rsidRPr="005A28F4">
        <w:rPr>
          <w:rFonts w:ascii="仿宋_GB2312" w:eastAsia="仿宋_GB2312" w:hAnsi="Times New Roman" w:cs="Times New Roman" w:hint="eastAsia"/>
          <w:sz w:val="32"/>
          <w:szCs w:val="32"/>
        </w:rPr>
        <w:lastRenderedPageBreak/>
        <w:t>为省级文物保护单位，或者直接将具有重要历史、艺术、科学价值的不可移动文物确定为省级文物保护单位，报省人民政府核定公布，并报国务院备案。</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文物保护单位的保护规划应当纳入当地的国民经济和社会发展计划、城乡建设发展规划，并与相关的环境治理、土地利用等专业规划相衔接。</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第十一条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全国重点文物保护单位的保护规划，在省文物行政主管部门指导下，由所在地的县级以上地方人民政府组织编制，由省文物行政主管部门会同省建设行政主管部门组织评审，经征得国务院文物行政主管部门同意后，由省人民政府批准公布。</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省级文物保护单位的保护规划，在省或者市、州人民政府文物行政主管部门的指导下，由所在地的县级以上地方人民政府组织编制，由省文物行政主管部门会同省建设行政主管部门组织评审后，报省人民政府批准公布。</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市级、县级文物保护单位的保护措施，由核定公布该文物保护单位的人民政府组织制定。</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对文物保护单位保护规划进行调整或者修改的，按照本条第一款、第二款的规定办理。</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第十二条</w:t>
      </w:r>
      <w:r w:rsidR="005A28F4">
        <w:rPr>
          <w:rFonts w:ascii="楷体_GB2312" w:eastAsia="楷体_GB2312" w:hAnsi="Times New Roman" w:cs="Times New Roman" w:hint="eastAsia"/>
          <w:bCs/>
          <w:sz w:val="32"/>
          <w:szCs w:val="32"/>
        </w:rPr>
        <w:t xml:space="preserve">  </w:t>
      </w:r>
      <w:r w:rsidRPr="005A28F4">
        <w:rPr>
          <w:rFonts w:ascii="仿宋_GB2312" w:eastAsia="仿宋_GB2312" w:hAnsi="Times New Roman" w:cs="Times New Roman" w:hint="eastAsia"/>
          <w:sz w:val="32"/>
          <w:szCs w:val="32"/>
        </w:rPr>
        <w:t>历史文化名城、街区、村镇命名后，所在地的县级以上地方人民政府应当在2年内组织编制保护规划。历史文化名城、街区、村镇的保护规划应当纳入城乡建设规划和土</w:t>
      </w:r>
      <w:r w:rsidRPr="005A28F4">
        <w:rPr>
          <w:rFonts w:ascii="仿宋_GB2312" w:eastAsia="仿宋_GB2312" w:hAnsi="Times New Roman" w:cs="Times New Roman" w:hint="eastAsia"/>
          <w:sz w:val="32"/>
          <w:szCs w:val="32"/>
        </w:rPr>
        <w:lastRenderedPageBreak/>
        <w:t>地利用规划。</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在历史文化名城、街区、村镇的保护规划区域内修建建筑物、构筑物，其形式、风格、高度、体量、色调等应当与历史文化名城、街区、村镇的历史风貌相协调。</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第十三条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历史文化街区、村镇，未按规划保护，其布局、环境、历史风貌遭到严重破坏，丧失原评定条件的，由省建设行政主管部门会同省文物行政主管部门审核，报省人民政府核准，撤销其历史文化街区、村镇的称号，并予以公告。撤销历史文化名城称号的，按国务院的有关规定执行。</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第十四条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省级、市级、县级文物保护单位的保护范围，由核定公布该文物保护单位的人民政府划定，</w:t>
      </w:r>
      <w:proofErr w:type="gramStart"/>
      <w:r w:rsidRPr="005A28F4">
        <w:rPr>
          <w:rFonts w:ascii="仿宋_GB2312" w:eastAsia="仿宋_GB2312" w:hAnsi="Times New Roman" w:cs="Times New Roman" w:hint="eastAsia"/>
          <w:sz w:val="32"/>
          <w:szCs w:val="32"/>
        </w:rPr>
        <w:t>作出</w:t>
      </w:r>
      <w:proofErr w:type="gramEnd"/>
      <w:r w:rsidRPr="005A28F4">
        <w:rPr>
          <w:rFonts w:ascii="仿宋_GB2312" w:eastAsia="仿宋_GB2312" w:hAnsi="Times New Roman" w:cs="Times New Roman" w:hint="eastAsia"/>
          <w:sz w:val="32"/>
          <w:szCs w:val="32"/>
        </w:rPr>
        <w:t>标志说明，建立记录档案，设置专门机构或者指定专人负责管理。市级、县级文物保护单位的保护范围和记录档案，报省文物行政主管部门备案。</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省级、市级、县级文物保护单位的建设控制地带，经省人民政府批准后，分别由省、市、县人民政府的文物行政主管部门会同建设、规划行政主管部门划定并公布。</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第十五条</w:t>
      </w:r>
      <w:r w:rsidR="005A28F4">
        <w:rPr>
          <w:rFonts w:ascii="楷体_GB2312" w:eastAsia="楷体_GB2312" w:hAnsi="Times New Roman" w:cs="Times New Roman" w:hint="eastAsia"/>
          <w:bCs/>
          <w:sz w:val="32"/>
          <w:szCs w:val="32"/>
        </w:rPr>
        <w:t xml:space="preserve">  </w:t>
      </w:r>
      <w:r w:rsidRPr="005A28F4">
        <w:rPr>
          <w:rFonts w:ascii="仿宋_GB2312" w:eastAsia="仿宋_GB2312" w:hAnsi="Times New Roman" w:cs="Times New Roman" w:hint="eastAsia"/>
          <w:sz w:val="32"/>
          <w:szCs w:val="32"/>
        </w:rPr>
        <w:t>文物保护单位的保护范围和建设控制地带自依法公布之日起1年内，由当地人民政府文物行政主管部门设置标识。</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任何单位和个人不得擅自移动、损毁标识。</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第十六条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在文物保护单位的保护范围内，严禁存放易燃、</w:t>
      </w:r>
      <w:r w:rsidRPr="005A28F4">
        <w:rPr>
          <w:rFonts w:ascii="仿宋_GB2312" w:eastAsia="仿宋_GB2312" w:hAnsi="Times New Roman" w:cs="Times New Roman" w:hint="eastAsia"/>
          <w:sz w:val="32"/>
          <w:szCs w:val="32"/>
        </w:rPr>
        <w:lastRenderedPageBreak/>
        <w:t>易爆、易腐蚀物品。</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第十七条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经批准在文物保护单位的建设控制地带内修建的建筑物、构筑物，其形式、风格、高度、体量、色调等应当与文物保护单位的历史风貌相协调。已有的危害文物保护单位安全、破坏文物保护单位历史风貌的建筑物、构筑物，应予以改造或者拆除。</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文物保护单位不具备国家规定的安全标准的，不得向社会开放。</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第十八条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文物保护单位的抢险加固工程、修缮工程、保护性设施建设工程、迁移工程，应当由具有相应资质的单位承担，并依法实行招投标和工程监理。</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文物保护工程施工应当按照文物行政主管部门批准的文物保护工程设计方案进行。如需变更已批准的文物保护工程设计方案，应当征得原设计单位同意，报原审批单位批准。</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文物保护工程竣工后，由工程设计方案的审批单位组织验收。</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第十九条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尚未核定为文物保护单位的不可移动文物，需迁移、拆除的，应当报县级人民政府文物行政主管部门批准；批准前应当征得上一级人民政府文物行政主管部门同意；当地文物行政主管部门应当组织对其进行测绘、登记、拍摄，制作档案。</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宗教活动场所内的文物保护单位，由管理使用</w:t>
      </w:r>
      <w:r w:rsidRPr="005A28F4">
        <w:rPr>
          <w:rFonts w:ascii="仿宋_GB2312" w:eastAsia="仿宋_GB2312" w:hAnsi="Times New Roman" w:cs="Times New Roman" w:hint="eastAsia"/>
          <w:sz w:val="32"/>
          <w:szCs w:val="32"/>
        </w:rPr>
        <w:lastRenderedPageBreak/>
        <w:t>该场所的宗教组织负责依法对其进行修缮、保养和安全管理，并接受文物行政主管部门的监督检查。</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第二十一条</w:t>
      </w:r>
      <w:r w:rsidR="005A28F4">
        <w:rPr>
          <w:rFonts w:ascii="楷体_GB2312" w:eastAsia="楷体_GB2312" w:hAnsi="Times New Roman" w:cs="Times New Roman" w:hint="eastAsia"/>
          <w:bCs/>
          <w:sz w:val="32"/>
          <w:szCs w:val="32"/>
        </w:rPr>
        <w:t xml:space="preserve">  </w:t>
      </w:r>
      <w:r w:rsidRPr="005A28F4">
        <w:rPr>
          <w:rFonts w:ascii="仿宋_GB2312" w:eastAsia="仿宋_GB2312" w:hAnsi="Times New Roman" w:cs="Times New Roman" w:hint="eastAsia"/>
          <w:sz w:val="32"/>
          <w:szCs w:val="32"/>
        </w:rPr>
        <w:t>在四川省行政区域内进行考古发掘工作，必须由考古发掘单位提出书面申请，经省文物行政主管部门审核，报国务院文物行政主管部门批准。</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第二十二条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在下列区域内进行的建设工程，建设单位取得项目选址意见书后，应当报省文物行政主管部门组织进行考古调查、勘探：</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（一）历史文化名城的保护规划范围内；</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（二）已核定公布为文物保护单位的古遗址、古墓葬、古建筑、石刻、纪念建筑等历史文化遗迹；</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（三）省文物行政主管部门核定的可能埋藏文物的区域。</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在成都市行政区域内进行的建设工程的考古调查、勘探，按照四川省人民代表大会常务委员会批准的《成都市文物保护管理条例》的规定执行。</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第二十三条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省文物行政主管部门自受理考古调查、勘探申请之日起40个工作日内，应当组织完成考古调查、勘探，做出考古调查、勘探结果意见书，并送达建设单位。经考古调查、勘探确认有文物埋藏，需要进行考古发掘的，由省文物行政主管部门组织发掘。</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在工程建设中发现古遗址、古墓葬，需要进行考古发掘的，建设单位应当允许施工单位顺延工期。经考古调查、勘探、发</w:t>
      </w:r>
      <w:r w:rsidRPr="005A28F4">
        <w:rPr>
          <w:rFonts w:ascii="仿宋_GB2312" w:eastAsia="仿宋_GB2312" w:hAnsi="Times New Roman" w:cs="Times New Roman" w:hint="eastAsia"/>
          <w:sz w:val="32"/>
          <w:szCs w:val="32"/>
        </w:rPr>
        <w:lastRenderedPageBreak/>
        <w:t>掘，需要进行原址保护的，建设单位应当避开原址或者另行选址。</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第二十四条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因进行基本建设和生产建设需要的考古调查、勘探、发掘所需费用按照《中华人民共和国文物保护法》第三十一条规定由建设单位列入建设工程预算。预算的定额标准按国家规定执行。</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第二十五条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涉案文物、国有文物收藏单位收藏的文物和考古发掘出土的文物，由省文物行政主管部门组织鉴定。</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拍卖的文物拍卖前由省文物行政主管部门依法审核。</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第二十六条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国有文物收藏单位应当建立严格的文物库房管理制度，馆藏文物必须由2名以上保管人员共同保管。</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国有文物收藏单位的法定代表人离任、文物库房保管人员工作变动时，应当按照馆藏文物档案办理馆藏文物移交手续，并经主管的文物行政主管部门确认。</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仿宋_GB2312" w:eastAsia="仿宋_GB2312" w:hAnsi="Times New Roman" w:cs="Times New Roman" w:hint="eastAsia"/>
          <w:sz w:val="32"/>
          <w:szCs w:val="32"/>
        </w:rPr>
        <w:t>国有文物收藏单位应当每年对收藏的文物组织清点，并将清点情况逐级报省文物行政主管部门备案。</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第二十七条</w:t>
      </w:r>
      <w:r w:rsidRPr="005A28F4">
        <w:rPr>
          <w:rFonts w:ascii="仿宋_GB2312" w:eastAsia="仿宋_GB2312" w:hAnsi="Times New Roman" w:cs="Times New Roman" w:hint="eastAsia"/>
          <w:bCs/>
          <w:sz w:val="32"/>
          <w:szCs w:val="32"/>
        </w:rPr>
        <w:t xml:space="preserve"> </w:t>
      </w:r>
      <w:r w:rsidRPr="005A28F4">
        <w:rPr>
          <w:rFonts w:ascii="仿宋_GB2312" w:eastAsia="仿宋_GB2312" w:hAnsi="Times New Roman" w:cs="Times New Roman" w:hint="eastAsia"/>
          <w:sz w:val="32"/>
          <w:szCs w:val="32"/>
        </w:rPr>
        <w:t xml:space="preserve"> 有文物保护单位的风景名胜区、公园、旅游景区等的管理单位，对文物保护单位的修缮、保养所必需的经费应予保障。</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第二十八条</w:t>
      </w:r>
      <w:r w:rsidR="005A28F4">
        <w:rPr>
          <w:rFonts w:ascii="仿宋_GB2312" w:eastAsia="仿宋_GB2312" w:hAnsi="Times New Roman" w:cs="Times New Roman" w:hint="eastAsia"/>
          <w:sz w:val="32"/>
          <w:szCs w:val="32"/>
        </w:rPr>
        <w:t xml:space="preserve">  </w:t>
      </w:r>
      <w:r w:rsidR="00C15874" w:rsidRPr="005A28F4">
        <w:rPr>
          <w:rFonts w:ascii="仿宋_GB2312" w:eastAsia="仿宋_GB2312" w:hAnsi="Times New Roman" w:cs="Times New Roman" w:hint="eastAsia"/>
          <w:sz w:val="32"/>
          <w:szCs w:val="32"/>
        </w:rPr>
        <w:t>为制作出版物、音像制品等拍摄文物保护单位和馆藏文物的，应当征得文物保护单位和文物收藏单位同意，并签署拍摄协议，明确文物保护措施和责任，保证文物安全。</w:t>
      </w:r>
      <w:r w:rsidR="00C15874" w:rsidRPr="005A28F4">
        <w:rPr>
          <w:rFonts w:ascii="仿宋_GB2312" w:eastAsia="仿宋_GB2312" w:hAnsi="Times New Roman" w:cs="Times New Roman" w:hint="eastAsia"/>
          <w:sz w:val="32"/>
          <w:szCs w:val="32"/>
        </w:rPr>
        <w:lastRenderedPageBreak/>
        <w:t>文物保护单位和文物收藏单位应当自拍摄工作完成后10个工作日内，将拍摄情况向文物行政主管部门报告。</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第二十九条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违反本实施办法第四条第二款规定的，或者行政机关不履行文物保护和管理职责的，由当地人民政府或者上级人民政府责令改正。</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第三十条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文物行政主管部门和其他有关部门的工作人员玩忽职守、滥用职权、徇私舞弊的，依法给予行政处分；构成犯罪的，依法追究刑事责任。</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第三十一条</w:t>
      </w:r>
      <w:r w:rsidR="005A28F4">
        <w:rPr>
          <w:rFonts w:ascii="仿宋_GB2312" w:eastAsia="仿宋_GB2312" w:hAnsi="Times New Roman" w:cs="Times New Roman" w:hint="eastAsia"/>
          <w:sz w:val="32"/>
          <w:szCs w:val="32"/>
        </w:rPr>
        <w:t xml:space="preserve">  </w:t>
      </w:r>
      <w:r w:rsidR="001D3A97" w:rsidRPr="005A28F4">
        <w:rPr>
          <w:rFonts w:ascii="仿宋_GB2312" w:eastAsia="仿宋_GB2312" w:hAnsi="Times New Roman" w:cs="Times New Roman" w:hint="eastAsia"/>
          <w:sz w:val="32"/>
          <w:szCs w:val="32"/>
        </w:rPr>
        <w:t>发生本实施办法第七条</w:t>
      </w:r>
      <w:r w:rsidRPr="005A28F4">
        <w:rPr>
          <w:rFonts w:ascii="仿宋_GB2312" w:eastAsia="仿宋_GB2312" w:hAnsi="Times New Roman" w:cs="Times New Roman" w:hint="eastAsia"/>
          <w:sz w:val="32"/>
          <w:szCs w:val="32"/>
        </w:rPr>
        <w:t>所列重大文物安全事故的，以及违反本实施办法第八条规定的，对直接负责的主管人员和其他直接责任人员依法给予行政处分；构成犯罪的，依法追究刑事责任。</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第三十二条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违反本实施办法第十五条第二款规定，擅自移动、损毁标识的，由文物所在单位要求其恢复原状、赔偿损失；公安机关给予警告，可以并处200元以下罚款。</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第三十三条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违反本实施办法第十六条规定的，由公安机关责令改正；造成安全事故的，对直接负责的主管人员和其他直接责任人员依法给予处罚；构成犯罪的，依法追究刑事责任。</w:t>
      </w:r>
    </w:p>
    <w:p w:rsidR="001E22F4"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t>第三十四条</w:t>
      </w:r>
      <w:r w:rsidR="005A28F4">
        <w:rPr>
          <w:rFonts w:ascii="仿宋_GB2312" w:eastAsia="仿宋_GB2312" w:hAnsi="Times New Roman" w:cs="Times New Roman" w:hint="eastAsia"/>
          <w:sz w:val="32"/>
          <w:szCs w:val="32"/>
        </w:rPr>
        <w:t xml:space="preserve">  </w:t>
      </w:r>
      <w:r w:rsidR="00C15874" w:rsidRPr="005A28F4">
        <w:rPr>
          <w:rFonts w:ascii="仿宋_GB2312" w:eastAsia="仿宋_GB2312" w:hAnsi="Times New Roman" w:cs="Times New Roman" w:hint="eastAsia"/>
          <w:sz w:val="32"/>
          <w:szCs w:val="32"/>
        </w:rPr>
        <w:t>文物保护单位和文物收藏单位违反本实施办法规定，未在规定期限内将文物拍摄情况向文物行政主管部门报告的，由文物行政主管部门责令限期改正；逾期不改正的，对负有责任的主管人员和其他直接责任人员依法给予行政处分。</w:t>
      </w:r>
    </w:p>
    <w:p w:rsidR="00983977" w:rsidRPr="005A28F4" w:rsidRDefault="001E22F4" w:rsidP="005A28F4">
      <w:pPr>
        <w:spacing w:line="580" w:lineRule="exact"/>
        <w:ind w:firstLineChars="196" w:firstLine="627"/>
        <w:rPr>
          <w:rFonts w:ascii="仿宋_GB2312" w:eastAsia="仿宋_GB2312" w:hAnsi="Times New Roman" w:cs="Times New Roman"/>
          <w:sz w:val="32"/>
          <w:szCs w:val="32"/>
        </w:rPr>
      </w:pPr>
      <w:r w:rsidRPr="005A28F4">
        <w:rPr>
          <w:rFonts w:ascii="楷体_GB2312" w:eastAsia="黑体" w:hAnsi="Times New Roman" w:cs="Times New Roman" w:hint="eastAsia"/>
          <w:bCs/>
          <w:sz w:val="32"/>
          <w:szCs w:val="32"/>
        </w:rPr>
        <w:lastRenderedPageBreak/>
        <w:t>第三十五条</w:t>
      </w:r>
      <w:r w:rsidR="005A28F4">
        <w:rPr>
          <w:rFonts w:ascii="仿宋_GB2312" w:eastAsia="仿宋_GB2312" w:hAnsi="Times New Roman" w:cs="Times New Roman" w:hint="eastAsia"/>
          <w:sz w:val="32"/>
          <w:szCs w:val="32"/>
        </w:rPr>
        <w:t xml:space="preserve">  </w:t>
      </w:r>
      <w:r w:rsidRPr="005A28F4">
        <w:rPr>
          <w:rFonts w:ascii="仿宋_GB2312" w:eastAsia="仿宋_GB2312" w:hAnsi="Times New Roman" w:cs="Times New Roman" w:hint="eastAsia"/>
          <w:sz w:val="32"/>
          <w:szCs w:val="32"/>
        </w:rPr>
        <w:t>本实施办法自2006年7月1日起施行。1982年12月23日四川省第五届人民代表大会常务委员会第十七次会议通过的《四川省文物保护管理办法》同时废止。</w:t>
      </w:r>
    </w:p>
    <w:sectPr w:rsidR="00983977" w:rsidRPr="005A28F4" w:rsidSect="005A28F4">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003" w:rsidRDefault="00086003" w:rsidP="001E22F4">
      <w:pPr>
        <w:spacing w:line="240" w:lineRule="auto"/>
      </w:pPr>
      <w:r>
        <w:separator/>
      </w:r>
    </w:p>
  </w:endnote>
  <w:endnote w:type="continuationSeparator" w:id="0">
    <w:p w:rsidR="00086003" w:rsidRDefault="00086003" w:rsidP="001E2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B51" w:rsidRPr="00CD0B51" w:rsidRDefault="00CD0B51">
    <w:pPr>
      <w:pStyle w:val="a4"/>
      <w:rPr>
        <w:rFonts w:asciiTheme="minorEastAsia" w:hAnsiTheme="minorEastAsia"/>
        <w:sz w:val="28"/>
        <w:szCs w:val="28"/>
      </w:rPr>
    </w:pPr>
    <w:r w:rsidRPr="00CD0B51">
      <w:rPr>
        <w:rFonts w:asciiTheme="minorEastAsia" w:hAnsiTheme="minorEastAsia" w:hint="eastAsia"/>
        <w:sz w:val="28"/>
        <w:szCs w:val="28"/>
      </w:rPr>
      <w:t xml:space="preserve">— </w:t>
    </w:r>
    <w:sdt>
      <w:sdtPr>
        <w:rPr>
          <w:rFonts w:asciiTheme="minorEastAsia" w:hAnsiTheme="minorEastAsia"/>
          <w:sz w:val="28"/>
          <w:szCs w:val="28"/>
        </w:rPr>
        <w:id w:val="1676452634"/>
        <w:docPartObj>
          <w:docPartGallery w:val="Page Numbers (Bottom of Page)"/>
          <w:docPartUnique/>
        </w:docPartObj>
      </w:sdtPr>
      <w:sdtEndPr/>
      <w:sdtContent>
        <w:r w:rsidRPr="00CD0B51">
          <w:rPr>
            <w:rFonts w:asciiTheme="minorEastAsia" w:hAnsiTheme="minorEastAsia"/>
            <w:sz w:val="28"/>
            <w:szCs w:val="28"/>
          </w:rPr>
          <w:fldChar w:fldCharType="begin"/>
        </w:r>
        <w:r w:rsidRPr="00CD0B51">
          <w:rPr>
            <w:rFonts w:asciiTheme="minorEastAsia" w:hAnsiTheme="minorEastAsia"/>
            <w:sz w:val="28"/>
            <w:szCs w:val="28"/>
          </w:rPr>
          <w:instrText>PAGE   \* MERGEFORMAT</w:instrText>
        </w:r>
        <w:r w:rsidRPr="00CD0B51">
          <w:rPr>
            <w:rFonts w:asciiTheme="minorEastAsia" w:hAnsiTheme="minorEastAsia"/>
            <w:sz w:val="28"/>
            <w:szCs w:val="28"/>
          </w:rPr>
          <w:fldChar w:fldCharType="separate"/>
        </w:r>
        <w:r w:rsidR="00ED2C6B" w:rsidRPr="00ED2C6B">
          <w:rPr>
            <w:rFonts w:asciiTheme="minorEastAsia" w:hAnsiTheme="minorEastAsia"/>
            <w:noProof/>
            <w:sz w:val="28"/>
            <w:szCs w:val="28"/>
            <w:lang w:val="zh-CN"/>
          </w:rPr>
          <w:t>10</w:t>
        </w:r>
        <w:r w:rsidRPr="00CD0B51">
          <w:rPr>
            <w:rFonts w:asciiTheme="minorEastAsia" w:hAnsiTheme="minorEastAsia"/>
            <w:sz w:val="28"/>
            <w:szCs w:val="28"/>
          </w:rPr>
          <w:fldChar w:fldCharType="end"/>
        </w:r>
        <w:r w:rsidRPr="00CD0B51">
          <w:rPr>
            <w:rFonts w:asciiTheme="minorEastAsia" w:hAnsiTheme="min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2F4" w:rsidRPr="005A28F4" w:rsidRDefault="00CD0B51" w:rsidP="00CD0B51">
    <w:pPr>
      <w:pStyle w:val="a4"/>
      <w:jc w:val="right"/>
      <w:rPr>
        <w:rFonts w:asciiTheme="majorEastAsia" w:eastAsiaTheme="majorEastAsia" w:hAnsiTheme="majorEastAsia"/>
        <w:sz w:val="28"/>
        <w:szCs w:val="28"/>
      </w:rPr>
    </w:pPr>
    <w:r w:rsidRPr="005A28F4">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362164717"/>
        <w:docPartObj>
          <w:docPartGallery w:val="Page Numbers (Bottom of Page)"/>
          <w:docPartUnique/>
        </w:docPartObj>
      </w:sdtPr>
      <w:sdtEndPr/>
      <w:sdtContent>
        <w:r w:rsidRPr="005A28F4">
          <w:rPr>
            <w:rFonts w:asciiTheme="majorEastAsia" w:eastAsiaTheme="majorEastAsia" w:hAnsiTheme="majorEastAsia"/>
            <w:sz w:val="28"/>
            <w:szCs w:val="28"/>
          </w:rPr>
          <w:fldChar w:fldCharType="begin"/>
        </w:r>
        <w:r w:rsidRPr="005A28F4">
          <w:rPr>
            <w:rFonts w:asciiTheme="majorEastAsia" w:eastAsiaTheme="majorEastAsia" w:hAnsiTheme="majorEastAsia"/>
            <w:sz w:val="28"/>
            <w:szCs w:val="28"/>
          </w:rPr>
          <w:instrText>PAGE   \* MERGEFORMAT</w:instrText>
        </w:r>
        <w:r w:rsidRPr="005A28F4">
          <w:rPr>
            <w:rFonts w:asciiTheme="majorEastAsia" w:eastAsiaTheme="majorEastAsia" w:hAnsiTheme="majorEastAsia"/>
            <w:sz w:val="28"/>
            <w:szCs w:val="28"/>
          </w:rPr>
          <w:fldChar w:fldCharType="separate"/>
        </w:r>
        <w:r w:rsidR="00ED2C6B" w:rsidRPr="00ED2C6B">
          <w:rPr>
            <w:rFonts w:asciiTheme="majorEastAsia" w:eastAsiaTheme="majorEastAsia" w:hAnsiTheme="majorEastAsia"/>
            <w:noProof/>
            <w:sz w:val="28"/>
            <w:szCs w:val="28"/>
            <w:lang w:val="zh-CN"/>
          </w:rPr>
          <w:t>9</w:t>
        </w:r>
        <w:r w:rsidRPr="005A28F4">
          <w:rPr>
            <w:rFonts w:asciiTheme="majorEastAsia" w:eastAsiaTheme="majorEastAsia" w:hAnsiTheme="majorEastAsia"/>
            <w:sz w:val="28"/>
            <w:szCs w:val="28"/>
          </w:rPr>
          <w:fldChar w:fldCharType="end"/>
        </w:r>
        <w:r w:rsidRPr="005A28F4">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003" w:rsidRDefault="00086003" w:rsidP="001E22F4">
      <w:pPr>
        <w:spacing w:line="240" w:lineRule="auto"/>
      </w:pPr>
      <w:r>
        <w:separator/>
      </w:r>
    </w:p>
  </w:footnote>
  <w:footnote w:type="continuationSeparator" w:id="0">
    <w:p w:rsidR="00086003" w:rsidRDefault="00086003" w:rsidP="001E22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22F4"/>
    <w:rsid w:val="00086003"/>
    <w:rsid w:val="001D3A97"/>
    <w:rsid w:val="001E22F4"/>
    <w:rsid w:val="004505DC"/>
    <w:rsid w:val="00490B7B"/>
    <w:rsid w:val="005A28F4"/>
    <w:rsid w:val="007A13D2"/>
    <w:rsid w:val="0098261E"/>
    <w:rsid w:val="00983977"/>
    <w:rsid w:val="00A00D38"/>
    <w:rsid w:val="00BF16F7"/>
    <w:rsid w:val="00C15874"/>
    <w:rsid w:val="00CA571E"/>
    <w:rsid w:val="00CD0B51"/>
    <w:rsid w:val="00CD6177"/>
    <w:rsid w:val="00D13E4F"/>
    <w:rsid w:val="00D4336E"/>
    <w:rsid w:val="00DE453E"/>
    <w:rsid w:val="00ED2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977"/>
    <w:pPr>
      <w:widowControl w:val="0"/>
      <w:jc w:val="both"/>
    </w:pPr>
  </w:style>
  <w:style w:type="paragraph" w:styleId="2">
    <w:name w:val="heading 2"/>
    <w:basedOn w:val="a"/>
    <w:link w:val="2Char"/>
    <w:uiPriority w:val="9"/>
    <w:qFormat/>
    <w:rsid w:val="001E22F4"/>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22F4"/>
    <w:rPr>
      <w:rFonts w:ascii="宋体" w:eastAsia="宋体" w:hAnsi="宋体" w:cs="宋体"/>
      <w:b/>
      <w:bCs/>
      <w:kern w:val="0"/>
      <w:sz w:val="36"/>
      <w:szCs w:val="36"/>
    </w:rPr>
  </w:style>
  <w:style w:type="paragraph" w:styleId="a3">
    <w:name w:val="header"/>
    <w:basedOn w:val="a"/>
    <w:link w:val="Char"/>
    <w:uiPriority w:val="99"/>
    <w:unhideWhenUsed/>
    <w:rsid w:val="001E22F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1E22F4"/>
    <w:rPr>
      <w:sz w:val="18"/>
      <w:szCs w:val="18"/>
    </w:rPr>
  </w:style>
  <w:style w:type="paragraph" w:styleId="a4">
    <w:name w:val="footer"/>
    <w:basedOn w:val="a"/>
    <w:link w:val="Char0"/>
    <w:uiPriority w:val="99"/>
    <w:unhideWhenUsed/>
    <w:rsid w:val="001E22F4"/>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1E22F4"/>
    <w:rPr>
      <w:sz w:val="18"/>
      <w:szCs w:val="18"/>
    </w:rPr>
  </w:style>
  <w:style w:type="paragraph" w:styleId="a5">
    <w:name w:val="Balloon Text"/>
    <w:basedOn w:val="a"/>
    <w:link w:val="Char1"/>
    <w:uiPriority w:val="99"/>
    <w:semiHidden/>
    <w:unhideWhenUsed/>
    <w:rsid w:val="00CD0B51"/>
    <w:pPr>
      <w:spacing w:line="240" w:lineRule="auto"/>
    </w:pPr>
    <w:rPr>
      <w:sz w:val="18"/>
      <w:szCs w:val="18"/>
    </w:rPr>
  </w:style>
  <w:style w:type="character" w:customStyle="1" w:styleId="Char1">
    <w:name w:val="批注框文本 Char"/>
    <w:basedOn w:val="a0"/>
    <w:link w:val="a5"/>
    <w:uiPriority w:val="99"/>
    <w:semiHidden/>
    <w:rsid w:val="00CD0B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5487">
      <w:bodyDiv w:val="1"/>
      <w:marLeft w:val="0"/>
      <w:marRight w:val="0"/>
      <w:marTop w:val="0"/>
      <w:marBottom w:val="0"/>
      <w:divBdr>
        <w:top w:val="none" w:sz="0" w:space="0" w:color="auto"/>
        <w:left w:val="none" w:sz="0" w:space="0" w:color="auto"/>
        <w:bottom w:val="none" w:sz="0" w:space="0" w:color="auto"/>
        <w:right w:val="none" w:sz="0" w:space="0" w:color="auto"/>
      </w:divBdr>
    </w:div>
    <w:div w:id="8865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663</Words>
  <Characters>3781</Characters>
  <Application>Microsoft Office Word</Application>
  <DocSecurity>0</DocSecurity>
  <Lines>31</Lines>
  <Paragraphs>8</Paragraphs>
  <ScaleCrop>false</ScaleCrop>
  <Company>Lenovo</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cp:lastPrinted>2014-07-30T06:45:00Z</cp:lastPrinted>
  <dcterms:created xsi:type="dcterms:W3CDTF">2014-07-30T02:17:00Z</dcterms:created>
  <dcterms:modified xsi:type="dcterms:W3CDTF">2018-08-21T01:11:00Z</dcterms:modified>
</cp:coreProperties>
</file>