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488" w:rsidRPr="00FA69AE" w:rsidRDefault="00407488" w:rsidP="00FA69AE">
      <w:pPr>
        <w:topLinePunct/>
        <w:adjustRightInd w:val="0"/>
        <w:snapToGrid w:val="0"/>
        <w:spacing w:line="576" w:lineRule="exact"/>
        <w:rPr>
          <w:rFonts w:ascii="宋体" w:eastAsia="宋体" w:hAnsi="宋体" w:cs="Times New Roman"/>
          <w:kern w:val="0"/>
          <w:sz w:val="32"/>
          <w:szCs w:val="24"/>
        </w:rPr>
      </w:pPr>
    </w:p>
    <w:p w:rsidR="00407488" w:rsidRPr="00FA69AE" w:rsidRDefault="00407488" w:rsidP="00FA69AE">
      <w:pPr>
        <w:topLinePunct/>
        <w:adjustRightInd w:val="0"/>
        <w:snapToGrid w:val="0"/>
        <w:spacing w:line="576" w:lineRule="exact"/>
        <w:rPr>
          <w:rFonts w:ascii="宋体" w:eastAsia="宋体" w:hAnsi="宋体" w:cs="Times New Roman"/>
          <w:kern w:val="0"/>
          <w:sz w:val="32"/>
          <w:szCs w:val="24"/>
        </w:rPr>
      </w:pPr>
    </w:p>
    <w:p w:rsidR="00E63206" w:rsidRPr="00FA69AE" w:rsidRDefault="00E63206" w:rsidP="00FA69AE">
      <w:pPr>
        <w:overflowPunct w:val="0"/>
        <w:topLinePunct/>
        <w:adjustRightInd w:val="0"/>
        <w:snapToGrid w:val="0"/>
        <w:spacing w:line="576" w:lineRule="exact"/>
        <w:jc w:val="center"/>
        <w:rPr>
          <w:rFonts w:ascii="宋体" w:hAnsi="宋体"/>
          <w:sz w:val="44"/>
          <w:szCs w:val="44"/>
        </w:rPr>
      </w:pPr>
      <w:r w:rsidRPr="00FA69AE">
        <w:rPr>
          <w:rFonts w:ascii="宋体" w:hAnsi="宋体" w:hint="eastAsia"/>
          <w:sz w:val="44"/>
          <w:szCs w:val="44"/>
        </w:rPr>
        <w:t>四川省优化营商环境条例</w:t>
      </w:r>
    </w:p>
    <w:p w:rsidR="00FB75C4" w:rsidRPr="00FA69AE" w:rsidRDefault="00FB75C4" w:rsidP="00FA69AE">
      <w:pPr>
        <w:adjustRightInd w:val="0"/>
        <w:snapToGrid w:val="0"/>
        <w:spacing w:line="576" w:lineRule="exact"/>
        <w:jc w:val="center"/>
        <w:rPr>
          <w:rFonts w:ascii="方正楷体简体" w:eastAsia="方正楷体简体" w:hAnsi="Times New Roman" w:cs="Times New Roman"/>
          <w:b/>
          <w:kern w:val="0"/>
          <w:sz w:val="28"/>
          <w:szCs w:val="28"/>
        </w:rPr>
      </w:pPr>
    </w:p>
    <w:p w:rsidR="00FB75C4" w:rsidRPr="00FA69AE" w:rsidRDefault="00FB75C4" w:rsidP="00FA69AE">
      <w:pPr>
        <w:overflowPunct w:val="0"/>
        <w:topLinePunct/>
        <w:adjustRightInd w:val="0"/>
        <w:snapToGrid w:val="0"/>
        <w:spacing w:line="576" w:lineRule="exact"/>
        <w:ind w:leftChars="300" w:left="630" w:rightChars="300" w:right="630"/>
        <w:jc w:val="left"/>
        <w:textAlignment w:val="baseline"/>
        <w:rPr>
          <w:rFonts w:ascii="楷体_GB2312" w:eastAsia="楷体_GB2312" w:hAnsi="楷体" w:cs="楷体"/>
          <w:sz w:val="32"/>
          <w:szCs w:val="32"/>
        </w:rPr>
      </w:pPr>
      <w:r w:rsidRPr="00FA69AE">
        <w:rPr>
          <w:rFonts w:ascii="楷体_GB2312" w:eastAsia="楷体_GB2312" w:hAnsi="楷体" w:cs="楷体"/>
          <w:sz w:val="32"/>
          <w:szCs w:val="32"/>
        </w:rPr>
        <w:t>（20</w:t>
      </w:r>
      <w:r w:rsidRPr="00FA69AE">
        <w:rPr>
          <w:rFonts w:ascii="楷体_GB2312" w:eastAsia="楷体_GB2312" w:hAnsi="楷体" w:cs="楷体" w:hint="eastAsia"/>
          <w:sz w:val="32"/>
          <w:szCs w:val="32"/>
        </w:rPr>
        <w:t>21</w:t>
      </w:r>
      <w:r w:rsidRPr="00FA69AE">
        <w:rPr>
          <w:rFonts w:ascii="楷体_GB2312" w:eastAsia="楷体_GB2312" w:hAnsi="楷体" w:cs="楷体"/>
          <w:sz w:val="32"/>
          <w:szCs w:val="32"/>
        </w:rPr>
        <w:t>年</w:t>
      </w:r>
      <w:r w:rsidRPr="00FA69AE">
        <w:rPr>
          <w:rFonts w:ascii="楷体_GB2312" w:eastAsia="楷体_GB2312" w:hAnsi="楷体" w:cs="楷体" w:hint="eastAsia"/>
          <w:sz w:val="32"/>
          <w:szCs w:val="32"/>
        </w:rPr>
        <w:t>3</w:t>
      </w:r>
      <w:r w:rsidRPr="00FA69AE">
        <w:rPr>
          <w:rFonts w:ascii="楷体_GB2312" w:eastAsia="楷体_GB2312" w:hAnsi="楷体" w:cs="楷体"/>
          <w:sz w:val="32"/>
          <w:szCs w:val="32"/>
        </w:rPr>
        <w:t>月</w:t>
      </w:r>
      <w:r w:rsidR="00943177" w:rsidRPr="00FA69AE">
        <w:rPr>
          <w:rFonts w:ascii="楷体_GB2312" w:eastAsia="楷体_GB2312" w:hAnsi="楷体" w:cs="楷体" w:hint="eastAsia"/>
          <w:sz w:val="32"/>
          <w:szCs w:val="32"/>
        </w:rPr>
        <w:t>26</w:t>
      </w:r>
      <w:r w:rsidRPr="00FA69AE">
        <w:rPr>
          <w:rFonts w:ascii="楷体_GB2312" w:eastAsia="楷体_GB2312" w:hAnsi="楷体" w:cs="楷体"/>
          <w:sz w:val="32"/>
          <w:szCs w:val="32"/>
        </w:rPr>
        <w:t>日四川省第十</w:t>
      </w:r>
      <w:r w:rsidRPr="00FA69AE">
        <w:rPr>
          <w:rFonts w:ascii="楷体_GB2312" w:eastAsia="楷体_GB2312" w:hAnsi="楷体" w:cs="楷体" w:hint="eastAsia"/>
          <w:sz w:val="32"/>
          <w:szCs w:val="32"/>
        </w:rPr>
        <w:t>三</w:t>
      </w:r>
      <w:r w:rsidRPr="00FA69AE">
        <w:rPr>
          <w:rFonts w:ascii="楷体_GB2312" w:eastAsia="楷体_GB2312" w:hAnsi="楷体" w:cs="楷体"/>
          <w:sz w:val="32"/>
          <w:szCs w:val="32"/>
        </w:rPr>
        <w:t>届人民代表大会常务委员会第</w:t>
      </w:r>
      <w:r w:rsidRPr="00FA69AE">
        <w:rPr>
          <w:rFonts w:ascii="楷体_GB2312" w:eastAsia="楷体_GB2312" w:hAnsi="楷体" w:cs="楷体" w:hint="eastAsia"/>
          <w:sz w:val="32"/>
          <w:szCs w:val="32"/>
        </w:rPr>
        <w:t>二十六</w:t>
      </w:r>
      <w:r w:rsidRPr="00FA69AE">
        <w:rPr>
          <w:rFonts w:ascii="楷体_GB2312" w:eastAsia="楷体_GB2312" w:hAnsi="楷体" w:cs="楷体"/>
          <w:sz w:val="32"/>
          <w:szCs w:val="32"/>
        </w:rPr>
        <w:t>次会议通过）</w:t>
      </w:r>
    </w:p>
    <w:p w:rsidR="00FB75C4" w:rsidRPr="00FA69AE" w:rsidRDefault="00FB75C4" w:rsidP="00FA69AE">
      <w:pPr>
        <w:overflowPunct w:val="0"/>
        <w:adjustRightInd w:val="0"/>
        <w:snapToGrid w:val="0"/>
        <w:spacing w:line="576" w:lineRule="exact"/>
        <w:jc w:val="center"/>
        <w:rPr>
          <w:rFonts w:ascii="方正黑体简体" w:eastAsia="方正黑体简体"/>
          <w:b/>
          <w:sz w:val="32"/>
          <w:szCs w:val="32"/>
        </w:rPr>
      </w:pPr>
    </w:p>
    <w:p w:rsidR="00FA715B" w:rsidRDefault="00E63206" w:rsidP="00FA69AE">
      <w:pPr>
        <w:topLinePunct/>
        <w:spacing w:line="576" w:lineRule="exact"/>
        <w:jc w:val="center"/>
        <w:outlineLvl w:val="0"/>
        <w:rPr>
          <w:rFonts w:ascii="Times New Roman" w:eastAsia="黑体" w:hAnsi="Times New Roman" w:cs="Times New Roman" w:hint="eastAsia"/>
          <w:bCs/>
          <w:sz w:val="32"/>
          <w:szCs w:val="32"/>
        </w:rPr>
      </w:pPr>
      <w:r w:rsidRPr="00FA69AE">
        <w:rPr>
          <w:rFonts w:ascii="Times New Roman" w:eastAsia="黑体" w:hAnsi="Times New Roman" w:cs="Times New Roman" w:hint="eastAsia"/>
          <w:bCs/>
          <w:sz w:val="32"/>
          <w:szCs w:val="32"/>
        </w:rPr>
        <w:t>第一章</w:t>
      </w:r>
      <w:r w:rsidRPr="00FA69AE">
        <w:rPr>
          <w:rFonts w:ascii="Times New Roman" w:eastAsia="黑体" w:hAnsi="Times New Roman" w:cs="Times New Roman" w:hint="eastAsia"/>
          <w:bCs/>
          <w:sz w:val="32"/>
          <w:szCs w:val="32"/>
        </w:rPr>
        <w:t xml:space="preserve">  </w:t>
      </w:r>
      <w:r w:rsidRPr="00FA69AE">
        <w:rPr>
          <w:rFonts w:ascii="Times New Roman" w:eastAsia="黑体" w:hAnsi="Times New Roman" w:cs="Times New Roman" w:hint="eastAsia"/>
          <w:bCs/>
          <w:sz w:val="32"/>
          <w:szCs w:val="32"/>
        </w:rPr>
        <w:t>总</w:t>
      </w:r>
      <w:r w:rsidR="002E7AF9" w:rsidRPr="00FA69AE">
        <w:rPr>
          <w:rFonts w:ascii="Times New Roman" w:eastAsia="黑体" w:hAnsi="Times New Roman" w:cs="Times New Roman" w:hint="eastAsia"/>
          <w:bCs/>
          <w:sz w:val="32"/>
          <w:szCs w:val="32"/>
        </w:rPr>
        <w:t xml:space="preserve"> </w:t>
      </w:r>
      <w:r w:rsidRPr="00FA69AE">
        <w:rPr>
          <w:rFonts w:ascii="Times New Roman" w:eastAsia="黑体" w:hAnsi="Times New Roman" w:cs="Times New Roman" w:hint="eastAsia"/>
          <w:bCs/>
          <w:sz w:val="32"/>
          <w:szCs w:val="32"/>
        </w:rPr>
        <w:t xml:space="preserve"> </w:t>
      </w:r>
      <w:r w:rsidRPr="00FA69AE">
        <w:rPr>
          <w:rFonts w:ascii="Times New Roman" w:eastAsia="黑体" w:hAnsi="Times New Roman" w:cs="Times New Roman" w:hint="eastAsia"/>
          <w:bCs/>
          <w:sz w:val="32"/>
          <w:szCs w:val="32"/>
        </w:rPr>
        <w:t>则</w:t>
      </w:r>
    </w:p>
    <w:p w:rsidR="00FA69AE" w:rsidRPr="00FA69AE" w:rsidRDefault="00FA69AE" w:rsidP="00FA69AE">
      <w:pPr>
        <w:topLinePunct/>
        <w:spacing w:line="576" w:lineRule="exact"/>
        <w:jc w:val="center"/>
        <w:outlineLvl w:val="0"/>
        <w:rPr>
          <w:rFonts w:ascii="Times New Roman" w:eastAsia="黑体" w:hAnsi="Times New Roman" w:cs="Times New Roman"/>
          <w:bCs/>
          <w:sz w:val="32"/>
          <w:szCs w:val="32"/>
        </w:rPr>
      </w:pP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第一条</w:t>
      </w:r>
      <w:r w:rsidRPr="00FA69AE">
        <w:rPr>
          <w:rFonts w:ascii="仿宋_GB2312" w:eastAsia="仿宋_GB2312" w:hAnsi="Times New Roman" w:cs="Times New Roman" w:hint="eastAsia"/>
          <w:bCs/>
          <w:color w:val="000000"/>
          <w:sz w:val="32"/>
          <w:szCs w:val="32"/>
        </w:rPr>
        <w:t xml:space="preserve"> 为了持续优化营商环境，激发市场主体活力，维护市场主体合法权益，推进政府治理体系和治理能力现代化建设，推动成渝地区双城经济圈建设，形成西部高质量发展的重要增长极，根据国务院《优化营商环境条例》和有关法律、行政法规，结合四川省实际，制定本条例。</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 xml:space="preserve">第二条 </w:t>
      </w:r>
      <w:r w:rsidRPr="00FA69AE">
        <w:rPr>
          <w:rFonts w:ascii="仿宋_GB2312" w:eastAsia="仿宋_GB2312" w:hAnsi="Times New Roman" w:cs="Times New Roman" w:hint="eastAsia"/>
          <w:bCs/>
          <w:color w:val="000000"/>
          <w:sz w:val="32"/>
          <w:szCs w:val="32"/>
        </w:rPr>
        <w:t>四川省行政区域内优化营商环境工作适用本条例。</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第三条</w:t>
      </w:r>
      <w:r w:rsidRPr="00FA69AE">
        <w:rPr>
          <w:rFonts w:ascii="仿宋_GB2312" w:eastAsia="仿宋_GB2312" w:hAnsi="Times New Roman" w:cs="Times New Roman" w:hint="eastAsia"/>
          <w:bCs/>
          <w:color w:val="000000"/>
          <w:sz w:val="32"/>
          <w:szCs w:val="32"/>
        </w:rPr>
        <w:t xml:space="preserve"> 优化营商环境应当坚持市场化、法治化、国际化原则，转变政府职能、强化协同联动、创新体制机制、完善法治保障，</w:t>
      </w:r>
      <w:r w:rsidR="00C23546" w:rsidRPr="00FA69AE">
        <w:rPr>
          <w:rFonts w:ascii="仿宋_GB2312" w:eastAsia="仿宋_GB2312" w:hAnsi="Times New Roman" w:cs="Times New Roman" w:hint="eastAsia"/>
          <w:bCs/>
          <w:color w:val="000000"/>
          <w:sz w:val="32"/>
          <w:szCs w:val="32"/>
        </w:rPr>
        <w:t>充分发挥市场在资源配置中的决定性作用，</w:t>
      </w:r>
      <w:r w:rsidRPr="00FA69AE">
        <w:rPr>
          <w:rFonts w:ascii="仿宋_GB2312" w:eastAsia="仿宋_GB2312" w:hAnsi="Times New Roman" w:cs="Times New Roman" w:hint="eastAsia"/>
          <w:bCs/>
          <w:color w:val="000000"/>
          <w:sz w:val="32"/>
          <w:szCs w:val="32"/>
        </w:rPr>
        <w:t>为各类市场主体投资兴业营造稳定、公平、透明、可预期的良好环境。</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第四条</w:t>
      </w:r>
      <w:r w:rsidRPr="00FA69AE">
        <w:rPr>
          <w:rFonts w:ascii="仿宋_GB2312" w:eastAsia="仿宋_GB2312" w:hAnsi="Times New Roman" w:cs="Times New Roman" w:hint="eastAsia"/>
          <w:bCs/>
          <w:color w:val="000000"/>
          <w:sz w:val="32"/>
          <w:szCs w:val="32"/>
        </w:rPr>
        <w:t xml:space="preserve"> 县级以上地方人民政府应当加强对本行政区域内优化营商环境工作的组织领导，建立健全统筹推进、督促落实优化营商环境工作的相关机制，及时协调、解决优化营商环境</w:t>
      </w:r>
      <w:r w:rsidRPr="00FA69AE">
        <w:rPr>
          <w:rFonts w:ascii="仿宋_GB2312" w:eastAsia="仿宋_GB2312" w:hAnsi="Times New Roman" w:cs="Times New Roman" w:hint="eastAsia"/>
          <w:bCs/>
          <w:color w:val="000000"/>
          <w:sz w:val="32"/>
          <w:szCs w:val="32"/>
        </w:rPr>
        <w:lastRenderedPageBreak/>
        <w:t>工作中的重大问题。政府主要负责人是优化营商环境的第一责任人。</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县级以上地方人民政府应当明确优化营商环境工作的主管部门，由其负责组织、指导、协调本行政区域的优化营商环境日常工作。</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县级以上地方人民政府有关部门按照各自职责做好优化营商环境相关工作。</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 xml:space="preserve">第五条 </w:t>
      </w:r>
      <w:r w:rsidRPr="00FA69AE">
        <w:rPr>
          <w:rFonts w:ascii="仿宋_GB2312" w:eastAsia="仿宋_GB2312" w:hAnsi="Times New Roman" w:cs="Times New Roman" w:hint="eastAsia"/>
          <w:bCs/>
          <w:color w:val="000000"/>
          <w:sz w:val="32"/>
          <w:szCs w:val="32"/>
        </w:rPr>
        <w:t>市场主体在市场经济活动中权利平等、机会平等、规则平等。市场主体的财产权利以及其他合法权益和企业经营者的人身权利、财产权利以及其他合法权益受法律保护，任何组织或者个人不得侵犯。</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第六条</w:t>
      </w:r>
      <w:r w:rsidRPr="00FA69AE">
        <w:rPr>
          <w:rFonts w:ascii="仿宋_GB2312" w:eastAsia="仿宋_GB2312" w:hAnsi="Times New Roman" w:cs="Times New Roman" w:hint="eastAsia"/>
          <w:bCs/>
          <w:color w:val="000000"/>
          <w:sz w:val="32"/>
          <w:szCs w:val="32"/>
        </w:rPr>
        <w:t xml:space="preserve"> 加强与其他省、自治区、直辖市交流合作，</w:t>
      </w:r>
      <w:r w:rsidR="0045711E" w:rsidRPr="00FA69AE">
        <w:rPr>
          <w:rFonts w:ascii="仿宋_GB2312" w:eastAsia="仿宋_GB2312" w:hAnsi="Times New Roman" w:cs="Times New Roman" w:hint="eastAsia"/>
          <w:bCs/>
          <w:color w:val="000000"/>
          <w:sz w:val="32"/>
          <w:szCs w:val="32"/>
        </w:rPr>
        <w:t>加强省内毗邻地区交流合作，</w:t>
      </w:r>
      <w:r w:rsidRPr="00FA69AE">
        <w:rPr>
          <w:rFonts w:ascii="仿宋_GB2312" w:eastAsia="仿宋_GB2312" w:hAnsi="Times New Roman" w:cs="Times New Roman" w:hint="eastAsia"/>
          <w:bCs/>
          <w:color w:val="000000"/>
          <w:sz w:val="32"/>
          <w:szCs w:val="32"/>
        </w:rPr>
        <w:t>形成要素自由流动的统一开放市场，持续优化区域整体营商环境。</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按照成渝地区双城经济圈建设国家战略，与重庆市协同推进以下优化营商环境工作：</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（一）加强毗邻地区合作，支持共建区域发展功能平台，探索经济区与行政区适度分离，促进要素自由流动，提高资源配置效率；</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（二）推进政务服务标准统一、跨省通办、监管联合、数据共享、证照互认；</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（三）加强公共法律服务、多元化纠纷解决机制协作；</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lastRenderedPageBreak/>
        <w:t>（四）</w:t>
      </w:r>
      <w:r w:rsidR="006F0FBC" w:rsidRPr="00FA69AE">
        <w:rPr>
          <w:rFonts w:ascii="仿宋_GB2312" w:eastAsia="仿宋_GB2312" w:hAnsi="Times New Roman" w:cs="Times New Roman" w:hint="eastAsia"/>
          <w:bCs/>
          <w:color w:val="000000"/>
          <w:sz w:val="32"/>
          <w:szCs w:val="32"/>
        </w:rPr>
        <w:t>完善执法联动响应和协作机制，实现违法线索互联、处理结果互认</w:t>
      </w:r>
      <w:r w:rsidRPr="00FA69AE">
        <w:rPr>
          <w:rFonts w:ascii="仿宋_GB2312" w:eastAsia="仿宋_GB2312" w:hAnsi="Times New Roman" w:cs="Times New Roman" w:hint="eastAsia"/>
          <w:bCs/>
          <w:color w:val="000000"/>
          <w:sz w:val="32"/>
          <w:szCs w:val="32"/>
        </w:rPr>
        <w:t>；</w:t>
      </w:r>
    </w:p>
    <w:p w:rsidR="006F0FBC" w:rsidRPr="00FA69AE" w:rsidRDefault="006F0FBC"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（五）完善司法协作机制，推进高水平司法服务和保障</w:t>
      </w:r>
      <w:r w:rsidR="00CD0FE7" w:rsidRPr="00FA69AE">
        <w:rPr>
          <w:rFonts w:ascii="仿宋_GB2312" w:eastAsia="仿宋_GB2312" w:hAnsi="Times New Roman" w:cs="Times New Roman" w:hint="eastAsia"/>
          <w:bCs/>
          <w:color w:val="000000"/>
          <w:sz w:val="32"/>
          <w:szCs w:val="32"/>
        </w:rPr>
        <w:t>；</w:t>
      </w:r>
    </w:p>
    <w:p w:rsidR="00FA715B" w:rsidRPr="00FA69AE" w:rsidRDefault="006F0FBC"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（六</w:t>
      </w:r>
      <w:r w:rsidR="00FA715B" w:rsidRPr="00FA69AE">
        <w:rPr>
          <w:rFonts w:ascii="仿宋_GB2312" w:eastAsia="仿宋_GB2312" w:hAnsi="Times New Roman" w:cs="Times New Roman" w:hint="eastAsia"/>
          <w:bCs/>
          <w:color w:val="000000"/>
          <w:sz w:val="32"/>
          <w:szCs w:val="32"/>
        </w:rPr>
        <w:t>）其他协商确定的合作事项。</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 xml:space="preserve">第七条 </w:t>
      </w:r>
      <w:r w:rsidRPr="00FA69AE">
        <w:rPr>
          <w:rFonts w:ascii="仿宋_GB2312" w:eastAsia="仿宋_GB2312" w:hAnsi="Times New Roman" w:cs="Times New Roman" w:hint="eastAsia"/>
          <w:bCs/>
          <w:color w:val="000000"/>
          <w:sz w:val="32"/>
          <w:szCs w:val="32"/>
        </w:rPr>
        <w:t>省人民政府发展改革部门应当按照国家营商环境评价体系要求，建立营商环境评价制度，运用第三方评估等方式开展评价工作并公布评价结果，发挥营商环境评价制度对优化营商环境的引领和督促作用。</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县级以上地方人民政府及其有关部门应当根据营商环境评价结果，及时调整完善优化营商环境的政策措施，加强政策解读与宣传。</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第八条</w:t>
      </w:r>
      <w:r w:rsidRPr="00FA69AE">
        <w:rPr>
          <w:rFonts w:ascii="仿宋_GB2312" w:eastAsia="仿宋_GB2312" w:hAnsi="Times New Roman" w:cs="Times New Roman" w:hint="eastAsia"/>
          <w:bCs/>
          <w:color w:val="000000"/>
          <w:sz w:val="32"/>
          <w:szCs w:val="32"/>
        </w:rPr>
        <w:t xml:space="preserve"> 新闻媒体应当及时、准确宣传优化营商环境的措施和成效，推广典型经验，营造开放包容、互利合作、诚实守信、重商护商的社会氛围。</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鼓励新闻媒体及时曝光损害营商环境的行为和典型案件，发挥舆论监督作用。</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 xml:space="preserve">第九条 </w:t>
      </w:r>
      <w:r w:rsidRPr="00FA69AE">
        <w:rPr>
          <w:rFonts w:ascii="仿宋_GB2312" w:eastAsia="仿宋_GB2312" w:hAnsi="Times New Roman" w:cs="Times New Roman" w:hint="eastAsia"/>
          <w:bCs/>
          <w:color w:val="000000"/>
          <w:sz w:val="32"/>
          <w:szCs w:val="32"/>
        </w:rPr>
        <w:t>县级以上地方人民政府及其有关部门应当结合实际，探索具体可行的优化营商环境新经验、新做法，并复制推广行之有效的改革措施。</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在探索创新中出现偏差失误或者未能实现预期目标，但未违反法律</w:t>
      </w:r>
      <w:r w:rsidR="00182B7D" w:rsidRPr="00FA69AE">
        <w:rPr>
          <w:rFonts w:ascii="仿宋_GB2312" w:eastAsia="仿宋_GB2312" w:hAnsi="Times New Roman" w:cs="Times New Roman" w:hint="eastAsia"/>
          <w:bCs/>
          <w:color w:val="000000"/>
          <w:sz w:val="32"/>
          <w:szCs w:val="32"/>
        </w:rPr>
        <w:t>、</w:t>
      </w:r>
      <w:r w:rsidRPr="00FA69AE">
        <w:rPr>
          <w:rFonts w:ascii="仿宋_GB2312" w:eastAsia="仿宋_GB2312" w:hAnsi="Times New Roman" w:cs="Times New Roman" w:hint="eastAsia"/>
          <w:bCs/>
          <w:color w:val="000000"/>
          <w:sz w:val="32"/>
          <w:szCs w:val="32"/>
        </w:rPr>
        <w:t>法规的强制性规定，符合国家和本省确定的发展改革方向，且勤勉尽责、未谋取私利的，可以予以免除责任或者</w:t>
      </w:r>
      <w:r w:rsidRPr="00FA69AE">
        <w:rPr>
          <w:rFonts w:ascii="仿宋_GB2312" w:eastAsia="仿宋_GB2312" w:hAnsi="Times New Roman" w:cs="Times New Roman" w:hint="eastAsia"/>
          <w:bCs/>
          <w:color w:val="000000"/>
          <w:sz w:val="32"/>
          <w:szCs w:val="32"/>
        </w:rPr>
        <w:lastRenderedPageBreak/>
        <w:t>减轻责任。</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第十条</w:t>
      </w:r>
      <w:r w:rsidRPr="00FA69AE">
        <w:rPr>
          <w:rFonts w:ascii="仿宋_GB2312" w:eastAsia="仿宋_GB2312" w:hAnsi="Times New Roman" w:cs="Times New Roman" w:hint="eastAsia"/>
          <w:bCs/>
          <w:color w:val="000000"/>
          <w:sz w:val="32"/>
          <w:szCs w:val="32"/>
        </w:rPr>
        <w:t xml:space="preserve"> 县级以上地方人民政府应当建立优化营商环境工作考核和激励机制，对做出显著成绩的单位和个人按规定给予表彰奖励；对考核结果不达标的单位的主要负责人实行约谈，并责令单位限期整改。</w:t>
      </w:r>
    </w:p>
    <w:p w:rsidR="000F754F" w:rsidRPr="00FA69AE" w:rsidRDefault="000F754F" w:rsidP="00FA69AE">
      <w:pPr>
        <w:overflowPunct w:val="0"/>
        <w:adjustRightInd w:val="0"/>
        <w:snapToGrid w:val="0"/>
        <w:spacing w:line="576" w:lineRule="exact"/>
        <w:jc w:val="center"/>
        <w:rPr>
          <w:rFonts w:ascii="方正黑体简体" w:eastAsia="方正黑体简体"/>
          <w:b/>
          <w:sz w:val="32"/>
          <w:szCs w:val="32"/>
        </w:rPr>
      </w:pPr>
    </w:p>
    <w:p w:rsidR="000F754F" w:rsidRDefault="00FA715B" w:rsidP="00FA69AE">
      <w:pPr>
        <w:topLinePunct/>
        <w:spacing w:line="576" w:lineRule="exact"/>
        <w:jc w:val="center"/>
        <w:outlineLvl w:val="0"/>
        <w:rPr>
          <w:rFonts w:ascii="Times New Roman" w:eastAsia="黑体" w:hAnsi="Times New Roman" w:cs="Times New Roman" w:hint="eastAsia"/>
          <w:bCs/>
          <w:sz w:val="32"/>
          <w:szCs w:val="32"/>
        </w:rPr>
      </w:pPr>
      <w:r w:rsidRPr="00FA69AE">
        <w:rPr>
          <w:rFonts w:ascii="Times New Roman" w:eastAsia="黑体" w:hAnsi="Times New Roman" w:cs="Times New Roman" w:hint="eastAsia"/>
          <w:bCs/>
          <w:sz w:val="32"/>
          <w:szCs w:val="32"/>
        </w:rPr>
        <w:t>第二章</w:t>
      </w:r>
      <w:r w:rsidRPr="00FA69AE">
        <w:rPr>
          <w:rFonts w:ascii="Times New Roman" w:eastAsia="黑体" w:hAnsi="Times New Roman" w:cs="Times New Roman" w:hint="eastAsia"/>
          <w:bCs/>
          <w:sz w:val="32"/>
          <w:szCs w:val="32"/>
        </w:rPr>
        <w:t xml:space="preserve">  </w:t>
      </w:r>
      <w:r w:rsidRPr="00FA69AE">
        <w:rPr>
          <w:rFonts w:ascii="Times New Roman" w:eastAsia="黑体" w:hAnsi="Times New Roman" w:cs="Times New Roman" w:hint="eastAsia"/>
          <w:bCs/>
          <w:sz w:val="32"/>
          <w:szCs w:val="32"/>
        </w:rPr>
        <w:t>市场环境</w:t>
      </w:r>
    </w:p>
    <w:p w:rsidR="00FA69AE" w:rsidRPr="00FA69AE" w:rsidRDefault="00FA69AE" w:rsidP="00FA69AE">
      <w:pPr>
        <w:topLinePunct/>
        <w:spacing w:line="576" w:lineRule="exact"/>
        <w:jc w:val="center"/>
        <w:outlineLvl w:val="0"/>
        <w:rPr>
          <w:rFonts w:ascii="Times New Roman" w:eastAsia="黑体" w:hAnsi="Times New Roman" w:cs="Times New Roman"/>
          <w:bCs/>
          <w:sz w:val="32"/>
          <w:szCs w:val="32"/>
        </w:rPr>
      </w:pP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第十一条</w:t>
      </w:r>
      <w:r w:rsidRPr="00FA69AE">
        <w:rPr>
          <w:rFonts w:ascii="仿宋_GB2312" w:eastAsia="仿宋_GB2312" w:hAnsi="Times New Roman" w:cs="Times New Roman" w:hint="eastAsia"/>
          <w:bCs/>
          <w:color w:val="000000"/>
          <w:sz w:val="32"/>
          <w:szCs w:val="32"/>
        </w:rPr>
        <w:t xml:space="preserve"> 市场主体依法享有经营自主权。对依法应当由市场主体自主决策的各类事项，任何单位和个人不得干预。</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禁止在法律、法规规定之外要求市场主体提供财力、物力或者人力的摊派行为。</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 xml:space="preserve">第十二条 </w:t>
      </w:r>
      <w:r w:rsidRPr="00FA69AE">
        <w:rPr>
          <w:rFonts w:ascii="仿宋_GB2312" w:eastAsia="仿宋_GB2312" w:hAnsi="Times New Roman" w:cs="Times New Roman" w:hint="eastAsia"/>
          <w:bCs/>
          <w:color w:val="000000"/>
          <w:sz w:val="32"/>
          <w:szCs w:val="32"/>
        </w:rPr>
        <w:t>市场准入负面清单以外的领域，各类市场主体均可以依法平等进入。外商投资准入负面清单以外的领域，按照内外资一致的原则实施管理。</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县级以上地方人民政府根据发展定位、功能布局以及环保安全等相关规定，按照有关产业规划制定产业引导政策，并向社会公开。</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第十三条</w:t>
      </w:r>
      <w:r w:rsidRPr="00FA69AE">
        <w:rPr>
          <w:rFonts w:ascii="仿宋_GB2312" w:eastAsia="仿宋_GB2312" w:hAnsi="Times New Roman" w:cs="Times New Roman" w:hint="eastAsia"/>
          <w:bCs/>
          <w:color w:val="000000"/>
          <w:sz w:val="32"/>
          <w:szCs w:val="32"/>
        </w:rPr>
        <w:t xml:space="preserve"> 对标国际高标准投资贸易规则，推进贸易便利化，鼓励和促进外商投资。平等对待外商投资企业，完善外商投资投诉协调工作机制，保护外商投资合法权益。</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支持各类企业在四川设立总部机构、研发中心、结算中心、</w:t>
      </w:r>
      <w:r w:rsidRPr="00FA69AE">
        <w:rPr>
          <w:rFonts w:ascii="仿宋_GB2312" w:eastAsia="仿宋_GB2312" w:hAnsi="Times New Roman" w:cs="Times New Roman" w:hint="eastAsia"/>
          <w:bCs/>
          <w:color w:val="000000"/>
          <w:sz w:val="32"/>
          <w:szCs w:val="32"/>
        </w:rPr>
        <w:lastRenderedPageBreak/>
        <w:t>永久会址等。</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第十四条</w:t>
      </w:r>
      <w:r w:rsidRPr="00FA69AE">
        <w:rPr>
          <w:rFonts w:ascii="仿宋_GB2312" w:eastAsia="仿宋_GB2312" w:hAnsi="Times New Roman" w:cs="Times New Roman" w:hint="eastAsia"/>
          <w:bCs/>
          <w:color w:val="000000"/>
          <w:sz w:val="32"/>
          <w:szCs w:val="32"/>
        </w:rPr>
        <w:t xml:space="preserve"> 县级以上地方人民政府及其有关部门依法保障各类市场主体获得平等待遇，</w:t>
      </w:r>
      <w:r w:rsidR="00325152" w:rsidRPr="00FA69AE">
        <w:rPr>
          <w:rFonts w:ascii="仿宋_GB2312" w:eastAsia="仿宋_GB2312" w:hAnsi="Times New Roman" w:cs="Times New Roman" w:hint="eastAsia"/>
          <w:bCs/>
          <w:color w:val="000000"/>
          <w:sz w:val="32"/>
          <w:szCs w:val="32"/>
        </w:rPr>
        <w:t>保障市场主体公平参与市场竞争，</w:t>
      </w:r>
      <w:r w:rsidRPr="00FA69AE">
        <w:rPr>
          <w:rFonts w:ascii="仿宋_GB2312" w:eastAsia="仿宋_GB2312" w:hAnsi="Times New Roman" w:cs="Times New Roman" w:hint="eastAsia"/>
          <w:bCs/>
          <w:color w:val="000000"/>
          <w:sz w:val="32"/>
          <w:szCs w:val="32"/>
        </w:rPr>
        <w:t>不得制定或者实施歧视性政策。</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各类市场主体依法平等适用国家和本省支持发展的各项政策和措施，享有公平使用资金、技术、人力资源、数据资源、土地使用权及其他自然资源等各类生产要素和用水用电用气等公共服务资源的权利。</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第十五条</w:t>
      </w:r>
      <w:r w:rsidRPr="00FA69AE">
        <w:rPr>
          <w:rFonts w:ascii="仿宋_GB2312" w:eastAsia="仿宋_GB2312" w:hAnsi="Times New Roman" w:cs="Times New Roman" w:hint="eastAsia"/>
          <w:bCs/>
          <w:color w:val="000000"/>
          <w:sz w:val="32"/>
          <w:szCs w:val="32"/>
        </w:rPr>
        <w:t xml:space="preserve"> 县级以上地方人民政府及其有关部门应当建立公共资源交易制度，加快推进公共资源电子化交易。</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县级以上地方人民政府及其有关部门应当将工程招标投标、土地使用权和矿业权出让、国有产权交易、政府采购等纳入公共资源交易平台体系，依法公开交易目录、公告、程序、结果等信息，保障各类市场主体及时获取有关信息并平等参与交易活动。</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第十六条</w:t>
      </w:r>
      <w:r w:rsidRPr="00FA69AE">
        <w:rPr>
          <w:rFonts w:ascii="仿宋_GB2312" w:eastAsia="仿宋_GB2312" w:hAnsi="Times New Roman" w:cs="Times New Roman" w:hint="eastAsia"/>
          <w:bCs/>
          <w:color w:val="000000"/>
          <w:sz w:val="32"/>
          <w:szCs w:val="32"/>
        </w:rPr>
        <w:t xml:space="preserve"> 县级以上地方人民政府应当合理利用土地资源，向市场主体供应国有建设用地应当符合下列要求：</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（一）征收（拆迁）安置补偿落实到位；</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（二）没有法律</w:t>
      </w:r>
      <w:r w:rsidR="00062BF9" w:rsidRPr="00FA69AE">
        <w:rPr>
          <w:rFonts w:ascii="仿宋_GB2312" w:eastAsia="仿宋_GB2312" w:hAnsi="Times New Roman" w:cs="Times New Roman" w:hint="eastAsia"/>
          <w:bCs/>
          <w:color w:val="000000"/>
          <w:sz w:val="32"/>
          <w:szCs w:val="32"/>
        </w:rPr>
        <w:t>、</w:t>
      </w:r>
      <w:r w:rsidRPr="00FA69AE">
        <w:rPr>
          <w:rFonts w:ascii="仿宋_GB2312" w:eastAsia="仿宋_GB2312" w:hAnsi="Times New Roman" w:cs="Times New Roman" w:hint="eastAsia"/>
          <w:bCs/>
          <w:color w:val="000000"/>
          <w:sz w:val="32"/>
          <w:szCs w:val="32"/>
        </w:rPr>
        <w:t>经济纠纷；</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（三）土地权利清晰并已注销原土地使用证；</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（四）规划条件明确；</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（五）具备动工开发基本条件。</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lastRenderedPageBreak/>
        <w:t>未按照国有建设用地使用权有偿使用合同或者划拨决定书确定的期限、条件将土地交付给国有建设用地使用权人，致使项目不具备动工开发条件的，应当依法承担相应法律责任。</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第十七条</w:t>
      </w:r>
      <w:r w:rsidRPr="00FA69AE">
        <w:rPr>
          <w:rFonts w:ascii="仿宋_GB2312" w:eastAsia="仿宋_GB2312" w:hAnsi="Times New Roman" w:cs="Times New Roman" w:hint="eastAsia"/>
          <w:bCs/>
          <w:color w:val="000000"/>
          <w:sz w:val="32"/>
          <w:szCs w:val="32"/>
        </w:rPr>
        <w:t xml:space="preserve"> 公用企事业单位应当公开服务范围、标准、收费、流程、完成时限等信息，简化报装程序、压缩报装时间、降低报装成本。依托全省统一的工程建设项目审批相关信息平台实现工程建设项目审批供水、供电、供气和通信报装全程网办。</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公用企事业单位应当推行接入和服务的标准化，确保接入标准、服务标准公开透明，并提供相关延伸服务和一站式服务。公用企事业单位应当对收费项目明码标价，并按照规定履行成本信息报送和公开义务。</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第十八条</w:t>
      </w:r>
      <w:r w:rsidRPr="00FA69AE">
        <w:rPr>
          <w:rFonts w:ascii="仿宋_GB2312" w:eastAsia="仿宋_GB2312" w:hAnsi="Times New Roman" w:cs="Times New Roman" w:hint="eastAsia"/>
          <w:bCs/>
          <w:color w:val="000000"/>
          <w:sz w:val="32"/>
          <w:szCs w:val="32"/>
        </w:rPr>
        <w:t xml:space="preserve"> 县级以上地方人民政府及其有关部门应当制定鼓励措施，引导金融机构为市场主体提供优质金融服务。</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金融机构应当执行国家支持市场主体发展的各项政策措施，平等对待各类市场主体，创新金融产品和服务，降低融资成本，提高融资效率。</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第十九条</w:t>
      </w:r>
      <w:r w:rsidRPr="00FA69AE">
        <w:rPr>
          <w:rFonts w:ascii="仿宋_GB2312" w:eastAsia="仿宋_GB2312" w:hAnsi="Times New Roman" w:cs="Times New Roman" w:hint="eastAsia"/>
          <w:bCs/>
          <w:color w:val="000000"/>
          <w:sz w:val="32"/>
          <w:szCs w:val="32"/>
        </w:rPr>
        <w:t xml:space="preserve"> 有条件的县级以上地方人民政府可以探索建立健全融资担保风险分担补偿机制，推动政府性融资担保机构增加注册资本，扩大业务规模。</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政府性融资担保机构应当重点为符合产业政策、有市场发展潜力的民营企业、中小企业提供融资担保，降低融资成本。政府性融资担保机构的担保费率以及各类政府性投融资平台收</w:t>
      </w:r>
      <w:r w:rsidRPr="00FA69AE">
        <w:rPr>
          <w:rFonts w:ascii="仿宋_GB2312" w:eastAsia="仿宋_GB2312" w:hAnsi="Times New Roman" w:cs="Times New Roman" w:hint="eastAsia"/>
          <w:bCs/>
          <w:color w:val="000000"/>
          <w:sz w:val="32"/>
          <w:szCs w:val="32"/>
        </w:rPr>
        <w:lastRenderedPageBreak/>
        <w:t>取的费用不得高于国家和本省的有关规定。</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 xml:space="preserve">第二十条 </w:t>
      </w:r>
      <w:r w:rsidRPr="00FA69AE">
        <w:rPr>
          <w:rFonts w:ascii="仿宋_GB2312" w:eastAsia="仿宋_GB2312" w:hAnsi="Times New Roman" w:cs="Times New Roman" w:hint="eastAsia"/>
          <w:bCs/>
          <w:color w:val="000000"/>
          <w:sz w:val="32"/>
          <w:szCs w:val="32"/>
        </w:rPr>
        <w:t>税务部门应当公布税收优惠项目清单，确保市场主体及时享受减税、免税、出口退税等有关税收优惠。</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税务部门按规定精简税费办理资料和流程，简并申报缴纳税费次数，缩短税费办理时间，提升电子税务和智慧办税服务能力，推广使用电子发票。</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第二十一条</w:t>
      </w:r>
      <w:r w:rsidRPr="00FA69AE">
        <w:rPr>
          <w:rFonts w:ascii="仿宋_GB2312" w:eastAsia="仿宋_GB2312" w:hAnsi="Times New Roman" w:cs="Times New Roman" w:hint="eastAsia"/>
          <w:bCs/>
          <w:color w:val="000000"/>
          <w:sz w:val="32"/>
          <w:szCs w:val="32"/>
        </w:rPr>
        <w:t xml:space="preserve"> 营造民营企业、中小企业健康发展环境，支持创业创新、公平参与市场竞争。</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县级以上地方人民政府应当从财政扶持、金融支持、公共服务等方面支持中小企业发展，并根据实际情况在本级预算中安排中小企业发展专项资金。</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 xml:space="preserve">第二十二条 </w:t>
      </w:r>
      <w:r w:rsidRPr="00FA69AE">
        <w:rPr>
          <w:rFonts w:ascii="仿宋_GB2312" w:eastAsia="仿宋_GB2312" w:hAnsi="Times New Roman" w:cs="Times New Roman" w:hint="eastAsia"/>
          <w:bCs/>
          <w:color w:val="000000"/>
          <w:sz w:val="32"/>
          <w:szCs w:val="32"/>
        </w:rPr>
        <w:t>积极推广“证照分离”改革成果，通过直接取消审批、审批改为备案、实行告知承诺、优化审批服务等方式，分类推进改革。</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深化“多证合一”改革，将“证照分离”后属于信息采集、记载公示、管理备查类的备案事项整合到营业执照，相关主管部门不再要求市场主体提供备案材料，市场主体获取营业执照后即可开展有关生产经营活动。</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市场监管部门应当根据企业自主申报的经营范围，明确告知企业需要办理的许可事项，并将市场主体注册登记信息推送相关主管部门。相关主管部门应当依企业申请及时办理涉企经营许可事项，并将办理结果即时反馈市场监管部门，市场监管</w:t>
      </w:r>
      <w:r w:rsidRPr="00FA69AE">
        <w:rPr>
          <w:rFonts w:ascii="仿宋_GB2312" w:eastAsia="仿宋_GB2312" w:hAnsi="Times New Roman" w:cs="Times New Roman" w:hint="eastAsia"/>
          <w:bCs/>
          <w:color w:val="000000"/>
          <w:sz w:val="32"/>
          <w:szCs w:val="32"/>
        </w:rPr>
        <w:lastRenderedPageBreak/>
        <w:t>部门将</w:t>
      </w:r>
      <w:r w:rsidR="00F32D62" w:rsidRPr="00FA69AE">
        <w:rPr>
          <w:rFonts w:ascii="仿宋_GB2312" w:eastAsia="仿宋_GB2312" w:hAnsi="Times New Roman" w:cs="Times New Roman" w:hint="eastAsia"/>
          <w:bCs/>
          <w:color w:val="000000"/>
          <w:sz w:val="32"/>
          <w:szCs w:val="32"/>
        </w:rPr>
        <w:t>许可信息记载于企业名下并在</w:t>
      </w:r>
      <w:r w:rsidRPr="00FA69AE">
        <w:rPr>
          <w:rFonts w:ascii="仿宋_GB2312" w:eastAsia="仿宋_GB2312" w:hAnsi="Times New Roman" w:cs="Times New Roman" w:hint="eastAsia"/>
          <w:bCs/>
          <w:color w:val="000000"/>
          <w:sz w:val="32"/>
          <w:szCs w:val="32"/>
        </w:rPr>
        <w:t>国</w:t>
      </w:r>
      <w:r w:rsidR="00F32D62" w:rsidRPr="00FA69AE">
        <w:rPr>
          <w:rFonts w:ascii="仿宋_GB2312" w:eastAsia="仿宋_GB2312" w:hAnsi="Times New Roman" w:cs="Times New Roman" w:hint="eastAsia"/>
          <w:bCs/>
          <w:color w:val="000000"/>
          <w:sz w:val="32"/>
          <w:szCs w:val="32"/>
        </w:rPr>
        <w:t>家</w:t>
      </w:r>
      <w:r w:rsidRPr="00FA69AE">
        <w:rPr>
          <w:rFonts w:ascii="仿宋_GB2312" w:eastAsia="仿宋_GB2312" w:hAnsi="Times New Roman" w:cs="Times New Roman" w:hint="eastAsia"/>
          <w:bCs/>
          <w:color w:val="000000"/>
          <w:sz w:val="32"/>
          <w:szCs w:val="32"/>
        </w:rPr>
        <w:t>企业信用信息公示系统（四川）中公示。</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第二十三条</w:t>
      </w:r>
      <w:r w:rsidRPr="00FA69AE">
        <w:rPr>
          <w:rFonts w:ascii="仿宋_GB2312" w:eastAsia="仿宋_GB2312" w:hAnsi="Times New Roman" w:cs="Times New Roman" w:hint="eastAsia"/>
          <w:bCs/>
          <w:color w:val="000000"/>
          <w:sz w:val="32"/>
          <w:szCs w:val="32"/>
        </w:rPr>
        <w:t xml:space="preserve"> 执行国家统一的市场主体登记制度，市场监管部门应当会同公安、住房城乡建设、税务、人力资源社会保障、政务服务中心等部门持续完善企业开办“一窗通”平台服务功能，全面推进全程电子化登记。</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申请人可以通过“一窗通”平台一次性办理营业执照、印章、发票、就业社保登记等业务。材料齐全、符合法定形式的，有关部门应当当场办结；不能当场办结的，待申请人提交全部补正申请文件、材料后，应当在一日内办结。</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企业可以在政务服务大厅开办企业综合窗口一次性领取营业执照、印章、发票和税控设备等。</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第二十四条</w:t>
      </w:r>
      <w:r w:rsidR="00677E20" w:rsidRPr="00FA69AE">
        <w:rPr>
          <w:rFonts w:ascii="仿宋_GB2312" w:eastAsia="仿宋_GB2312" w:hAnsi="Times New Roman" w:cs="Times New Roman" w:hint="eastAsia"/>
          <w:bCs/>
          <w:color w:val="000000"/>
          <w:sz w:val="32"/>
          <w:szCs w:val="32"/>
        </w:rPr>
        <w:t xml:space="preserve"> 县级以上地方人民政府应当建立健全企业迁移综合服务协调机制，对企业跨区域变更住所提供便利。任何组织和个人不得强制要求市场主体在本地设立分支机构</w:t>
      </w:r>
      <w:r w:rsidR="00B9578E" w:rsidRPr="00FA69AE">
        <w:rPr>
          <w:rFonts w:ascii="仿宋_GB2312" w:eastAsia="仿宋_GB2312" w:hAnsi="Times New Roman" w:cs="Times New Roman" w:hint="eastAsia"/>
          <w:bCs/>
          <w:color w:val="000000"/>
          <w:sz w:val="32"/>
          <w:szCs w:val="32"/>
        </w:rPr>
        <w:t>，不得干扰和阻碍市场主体依法办理注销登记或</w:t>
      </w:r>
      <w:r w:rsidR="00835AC7" w:rsidRPr="00FA69AE">
        <w:rPr>
          <w:rFonts w:ascii="仿宋_GB2312" w:eastAsia="仿宋_GB2312" w:hAnsi="Times New Roman" w:cs="Times New Roman" w:hint="eastAsia"/>
          <w:bCs/>
          <w:color w:val="000000"/>
          <w:sz w:val="32"/>
          <w:szCs w:val="32"/>
        </w:rPr>
        <w:t>者</w:t>
      </w:r>
      <w:r w:rsidR="00B9578E" w:rsidRPr="00FA69AE">
        <w:rPr>
          <w:rFonts w:ascii="仿宋_GB2312" w:eastAsia="仿宋_GB2312" w:hAnsi="Times New Roman" w:cs="Times New Roman" w:hint="eastAsia"/>
          <w:bCs/>
          <w:color w:val="000000"/>
          <w:sz w:val="32"/>
          <w:szCs w:val="32"/>
        </w:rPr>
        <w:t>退出本地市场，不得限制企业自由迁移。</w:t>
      </w:r>
      <w:r w:rsidRPr="00FA69AE">
        <w:rPr>
          <w:rFonts w:ascii="仿宋_GB2312" w:eastAsia="仿宋_GB2312" w:hAnsi="Times New Roman" w:cs="Times New Roman" w:hint="eastAsia"/>
          <w:bCs/>
          <w:color w:val="000000"/>
          <w:sz w:val="32"/>
          <w:szCs w:val="32"/>
        </w:rPr>
        <w:t xml:space="preserve"> </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除法律</w:t>
      </w:r>
      <w:r w:rsidR="00182B7D" w:rsidRPr="00FA69AE">
        <w:rPr>
          <w:rFonts w:ascii="仿宋_GB2312" w:eastAsia="仿宋_GB2312" w:hAnsi="Times New Roman" w:cs="Times New Roman" w:hint="eastAsia"/>
          <w:bCs/>
          <w:color w:val="000000"/>
          <w:sz w:val="32"/>
          <w:szCs w:val="32"/>
        </w:rPr>
        <w:t>、</w:t>
      </w:r>
      <w:r w:rsidRPr="00FA69AE">
        <w:rPr>
          <w:rFonts w:ascii="仿宋_GB2312" w:eastAsia="仿宋_GB2312" w:hAnsi="Times New Roman" w:cs="Times New Roman" w:hint="eastAsia"/>
          <w:bCs/>
          <w:color w:val="000000"/>
          <w:sz w:val="32"/>
          <w:szCs w:val="32"/>
        </w:rPr>
        <w:t>法规另有规定外，市场主体迁移后其持有的有效许可证件不再重复办理。</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第二十五条</w:t>
      </w:r>
      <w:r w:rsidRPr="00FA69AE">
        <w:rPr>
          <w:rFonts w:ascii="仿宋_GB2312" w:eastAsia="仿宋_GB2312" w:hAnsi="Times New Roman" w:cs="Times New Roman" w:hint="eastAsia"/>
          <w:bCs/>
          <w:color w:val="000000"/>
          <w:sz w:val="32"/>
          <w:szCs w:val="32"/>
        </w:rPr>
        <w:t xml:space="preserve"> 企业可以通过“一窗通”平台申请注销，由市场监管、税务、人力资源社会保障等部门分类处置、同步办理、一次办结相关事项。</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lastRenderedPageBreak/>
        <w:t>对设立后未开展生产经营活动或者申请注销登记时无债权债务的市场主体，可以按照简易程序</w:t>
      </w:r>
      <w:r w:rsidR="000F07C0" w:rsidRPr="00FA69AE">
        <w:rPr>
          <w:rFonts w:ascii="仿宋_GB2312" w:eastAsia="仿宋_GB2312" w:hAnsi="Times New Roman" w:cs="Times New Roman" w:hint="eastAsia"/>
          <w:bCs/>
          <w:color w:val="000000"/>
          <w:sz w:val="32"/>
          <w:szCs w:val="32"/>
        </w:rPr>
        <w:t>快速</w:t>
      </w:r>
      <w:r w:rsidRPr="00FA69AE">
        <w:rPr>
          <w:rFonts w:ascii="仿宋_GB2312" w:eastAsia="仿宋_GB2312" w:hAnsi="Times New Roman" w:cs="Times New Roman" w:hint="eastAsia"/>
          <w:bCs/>
          <w:color w:val="000000"/>
          <w:sz w:val="32"/>
          <w:szCs w:val="32"/>
        </w:rPr>
        <w:t>办理注销。</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第二十六条</w:t>
      </w:r>
      <w:r w:rsidRPr="00FA69AE">
        <w:rPr>
          <w:rFonts w:ascii="仿宋_GB2312" w:eastAsia="仿宋_GB2312" w:hAnsi="Times New Roman" w:cs="Times New Roman" w:hint="eastAsia"/>
          <w:bCs/>
          <w:color w:val="000000"/>
          <w:sz w:val="32"/>
          <w:szCs w:val="32"/>
        </w:rPr>
        <w:t xml:space="preserve"> 鼓励各类市场主体建立健全合规管理制度</w:t>
      </w:r>
      <w:r w:rsidR="00450CDF" w:rsidRPr="00FA69AE">
        <w:rPr>
          <w:rFonts w:ascii="仿宋_GB2312" w:eastAsia="仿宋_GB2312" w:hAnsi="Times New Roman" w:cs="Times New Roman" w:hint="eastAsia"/>
          <w:bCs/>
          <w:color w:val="000000"/>
          <w:sz w:val="32"/>
          <w:szCs w:val="32"/>
        </w:rPr>
        <w:t>和</w:t>
      </w:r>
      <w:r w:rsidRPr="00FA69AE">
        <w:rPr>
          <w:rFonts w:ascii="仿宋_GB2312" w:eastAsia="仿宋_GB2312" w:hAnsi="Times New Roman" w:cs="Times New Roman" w:hint="eastAsia"/>
          <w:bCs/>
          <w:color w:val="000000"/>
          <w:sz w:val="32"/>
          <w:szCs w:val="32"/>
        </w:rPr>
        <w:t>风险识别预警机制，对经营行为进行全流程、全方位合规管理，推动合规管理与法律、审计、内控</w:t>
      </w:r>
      <w:r w:rsidR="00452519" w:rsidRPr="00FA69AE">
        <w:rPr>
          <w:rFonts w:ascii="仿宋_GB2312" w:eastAsia="仿宋_GB2312" w:hAnsi="Times New Roman" w:cs="Times New Roman" w:hint="eastAsia"/>
          <w:bCs/>
          <w:color w:val="000000"/>
          <w:sz w:val="32"/>
          <w:szCs w:val="32"/>
        </w:rPr>
        <w:t>等</w:t>
      </w:r>
      <w:r w:rsidRPr="00FA69AE">
        <w:rPr>
          <w:rFonts w:ascii="仿宋_GB2312" w:eastAsia="仿宋_GB2312" w:hAnsi="Times New Roman" w:cs="Times New Roman" w:hint="eastAsia"/>
          <w:bCs/>
          <w:color w:val="000000"/>
          <w:sz w:val="32"/>
          <w:szCs w:val="32"/>
        </w:rPr>
        <w:t>风险管理工作相衔接。</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 xml:space="preserve">第二十七条 </w:t>
      </w:r>
      <w:r w:rsidR="00CE07B5" w:rsidRPr="00FA69AE">
        <w:rPr>
          <w:rFonts w:ascii="仿宋_GB2312" w:eastAsia="仿宋_GB2312" w:hAnsi="Times New Roman" w:cs="Times New Roman" w:hint="eastAsia"/>
          <w:bCs/>
          <w:color w:val="000000"/>
          <w:sz w:val="32"/>
          <w:szCs w:val="32"/>
        </w:rPr>
        <w:t>县级以上地方人民政府有关部门</w:t>
      </w:r>
      <w:r w:rsidRPr="00FA69AE">
        <w:rPr>
          <w:rFonts w:ascii="仿宋_GB2312" w:eastAsia="仿宋_GB2312" w:hAnsi="Times New Roman" w:cs="Times New Roman" w:hint="eastAsia"/>
          <w:bCs/>
          <w:color w:val="000000"/>
          <w:sz w:val="32"/>
          <w:szCs w:val="32"/>
        </w:rPr>
        <w:t>应当加大</w:t>
      </w:r>
      <w:r w:rsidR="00677E20" w:rsidRPr="00FA69AE">
        <w:rPr>
          <w:rFonts w:ascii="仿宋_GB2312" w:eastAsia="仿宋_GB2312" w:hAnsi="Times New Roman" w:cs="Times New Roman"/>
          <w:bCs/>
          <w:color w:val="000000"/>
          <w:sz w:val="32"/>
          <w:szCs w:val="32"/>
        </w:rPr>
        <w:t>反垄断和反不正当竞争</w:t>
      </w:r>
      <w:r w:rsidRPr="00FA69AE">
        <w:rPr>
          <w:rFonts w:ascii="仿宋_GB2312" w:eastAsia="仿宋_GB2312" w:hAnsi="Times New Roman" w:cs="Times New Roman" w:hint="eastAsia"/>
          <w:bCs/>
          <w:color w:val="000000"/>
          <w:sz w:val="32"/>
          <w:szCs w:val="32"/>
        </w:rPr>
        <w:t>执法力度，有效预防和制止市场经济活动中的垄断行为、不正当竞争行为以及滥用行政权力排除、限制竞争的行为。</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第二十八条</w:t>
      </w:r>
      <w:r w:rsidRPr="00FA69AE">
        <w:rPr>
          <w:rFonts w:ascii="仿宋_GB2312" w:eastAsia="仿宋_GB2312" w:hAnsi="Times New Roman" w:cs="Times New Roman" w:hint="eastAsia"/>
          <w:bCs/>
          <w:color w:val="000000"/>
          <w:sz w:val="32"/>
          <w:szCs w:val="32"/>
        </w:rPr>
        <w:t xml:space="preserve"> 政府投资项目所需资金应当按照国家有关规定确保落实到位。国家机关、事业单位不得违约拖欠货物、工程、服务等账款，不得变相延长付款期限。</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县级以上地方人民政府及其有关部门应当探索建立拖欠账款行为约束惩戒机制，通过预算管理、绩效考核、审计监督等，防止和纠正行政机关、事业单位拖欠市场主体账款。</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第二十九条</w:t>
      </w:r>
      <w:r w:rsidRPr="00FA69AE">
        <w:rPr>
          <w:rFonts w:ascii="仿宋_GB2312" w:eastAsia="仿宋_GB2312" w:hAnsi="Times New Roman" w:cs="Times New Roman" w:hint="eastAsia"/>
          <w:bCs/>
          <w:color w:val="000000"/>
          <w:sz w:val="32"/>
          <w:szCs w:val="32"/>
        </w:rPr>
        <w:t xml:space="preserve"> 县级以上地方人民政府及其有关部门应当完善政策措施、强化创新服务，鼓励和支持市场主体拓展创新空间，持续推进产品、技术、商业模式、管理等创新。</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持续推动科技创新，鼓励和支持创办科技企业孵化器、大学科技园、众创空间和技术转移机构、科技金融服务等机构，为初创期科技企业和科技成果转化项目提供孵化场地、创业辅导、投融资对接、技术对接、研究开发与管理咨询等服务，促</w:t>
      </w:r>
      <w:r w:rsidRPr="00FA69AE">
        <w:rPr>
          <w:rFonts w:ascii="仿宋_GB2312" w:eastAsia="仿宋_GB2312" w:hAnsi="Times New Roman" w:cs="Times New Roman" w:hint="eastAsia"/>
          <w:bCs/>
          <w:color w:val="000000"/>
          <w:sz w:val="32"/>
          <w:szCs w:val="32"/>
        </w:rPr>
        <w:lastRenderedPageBreak/>
        <w:t>进科技成果转化。协同推进成渝科技创新中心建设。</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支持举办各类创新创业赛事活动、创建创新创业活动品牌。</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 xml:space="preserve">第三十条 </w:t>
      </w:r>
      <w:r w:rsidRPr="00FA69AE">
        <w:rPr>
          <w:rFonts w:ascii="仿宋_GB2312" w:eastAsia="仿宋_GB2312" w:hAnsi="Times New Roman" w:cs="Times New Roman" w:hint="eastAsia"/>
          <w:bCs/>
          <w:color w:val="000000"/>
          <w:sz w:val="32"/>
          <w:szCs w:val="32"/>
        </w:rPr>
        <w:t>省人民政府财政、经信、发展改革等部门应当按照职责分工编制涉企行政事业性收费、政府性基金、涉企保证金、实行政府定价或者政府指导价的经营服务性收费目录清单，清单之外的前述收费和保证金一律不得执行。</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推广以金融机构保函替代现金缴纳涉企保证金。不得限制企业按照规定自主选择缴纳涉企保证金方式。</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 xml:space="preserve">第三十一条 </w:t>
      </w:r>
      <w:r w:rsidRPr="00FA69AE">
        <w:rPr>
          <w:rFonts w:ascii="仿宋_GB2312" w:eastAsia="仿宋_GB2312" w:hAnsi="Times New Roman" w:cs="Times New Roman" w:hint="eastAsia"/>
          <w:bCs/>
          <w:color w:val="000000"/>
          <w:sz w:val="32"/>
          <w:szCs w:val="32"/>
        </w:rPr>
        <w:t>按照国家促进贸易便利化的有关要求，完善跨境贸易便利化措施，优化口岸作业和物流组织模式，推进口岸物流单证无纸化，提升全流程电子化程度，压缩口岸整体通关时间，通过市场引导、行业规范等方式，降低进出口环节的合规成本，实现口岸收费合理稳定。</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口岸管理部门应当组织口岸经营服务企业编制口岸收费目录清单。口岸经营服务企业应当对服务项目明码标价，注明服务的项目、收费标准等有关情况，并在国际贸易“单一窗口”等平台公布，清单之外不得收费。</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海关等有关单位按照国家促进跨境贸易便利化的有关要求，落实“放管服”要求，优化简化通关流程，提高通关效率。对符合条件的企业，实行先放后检、担保放行等管理措施。口岸物流部门和海关应当公布四川省进出口货物整体通关时间。</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第三十二条</w:t>
      </w:r>
      <w:r w:rsidRPr="00FA69AE">
        <w:rPr>
          <w:rFonts w:ascii="仿宋_GB2312" w:eastAsia="仿宋_GB2312" w:hAnsi="Times New Roman" w:cs="Times New Roman" w:hint="eastAsia"/>
          <w:bCs/>
          <w:color w:val="000000"/>
          <w:sz w:val="32"/>
          <w:szCs w:val="32"/>
        </w:rPr>
        <w:t xml:space="preserve"> 通过国际贸易“单一窗口”，为申报人提供进</w:t>
      </w:r>
      <w:r w:rsidRPr="00FA69AE">
        <w:rPr>
          <w:rFonts w:ascii="仿宋_GB2312" w:eastAsia="仿宋_GB2312" w:hAnsi="Times New Roman" w:cs="Times New Roman" w:hint="eastAsia"/>
          <w:bCs/>
          <w:color w:val="000000"/>
          <w:sz w:val="32"/>
          <w:szCs w:val="32"/>
        </w:rPr>
        <w:lastRenderedPageBreak/>
        <w:t>出口货物申报、运输工具申报、税费支付、贸易许可和原产地证书申领等全流程电子化服务，为进出境人员提供便利化服务，完善在线收付汇、出口退税申报、商品溯源等功能，共享国际贸易链条信息，支持扩大跨部门联网核查监管证件范围。</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依托国际贸易“单一窗口”，推动跨境跨区域合作，推进全链条信息共享和业务协同，促进信息互联互通，便利企业开展跨境业务。</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第三十三条</w:t>
      </w:r>
      <w:r w:rsidRPr="00FA69AE">
        <w:rPr>
          <w:rFonts w:ascii="仿宋_GB2312" w:eastAsia="仿宋_GB2312" w:hAnsi="Times New Roman" w:cs="Times New Roman" w:hint="eastAsia"/>
          <w:bCs/>
          <w:color w:val="000000"/>
          <w:sz w:val="32"/>
          <w:szCs w:val="32"/>
        </w:rPr>
        <w:t xml:space="preserve"> 地方各级人民政府及其有关部门向市场主体作出政策承诺应当严格依法依规，不得违法违规承诺优惠条件。</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地方各级人民政府及其有关部门应当</w:t>
      </w:r>
      <w:r w:rsidR="0063714C" w:rsidRPr="00FA69AE">
        <w:rPr>
          <w:rFonts w:ascii="仿宋_GB2312" w:eastAsia="仿宋_GB2312" w:hAnsi="Times New Roman" w:cs="Times New Roman" w:hint="eastAsia"/>
          <w:bCs/>
          <w:color w:val="000000"/>
          <w:sz w:val="32"/>
          <w:szCs w:val="32"/>
        </w:rPr>
        <w:t>强化法治意识，</w:t>
      </w:r>
      <w:r w:rsidRPr="00FA69AE">
        <w:rPr>
          <w:rFonts w:ascii="仿宋_GB2312" w:eastAsia="仿宋_GB2312" w:hAnsi="Times New Roman" w:cs="Times New Roman" w:hint="eastAsia"/>
          <w:bCs/>
          <w:color w:val="000000"/>
          <w:sz w:val="32"/>
          <w:szCs w:val="32"/>
        </w:rPr>
        <w:t>履行依法</w:t>
      </w:r>
      <w:r w:rsidR="00A253CD" w:rsidRPr="00FA69AE">
        <w:rPr>
          <w:rFonts w:ascii="仿宋_GB2312" w:eastAsia="仿宋_GB2312" w:hAnsi="Times New Roman" w:cs="Times New Roman" w:hint="eastAsia"/>
          <w:bCs/>
          <w:color w:val="000000"/>
          <w:sz w:val="32"/>
          <w:szCs w:val="32"/>
        </w:rPr>
        <w:t>依规</w:t>
      </w:r>
      <w:r w:rsidRPr="00FA69AE">
        <w:rPr>
          <w:rFonts w:ascii="仿宋_GB2312" w:eastAsia="仿宋_GB2312" w:hAnsi="Times New Roman" w:cs="Times New Roman" w:hint="eastAsia"/>
          <w:bCs/>
          <w:color w:val="000000"/>
          <w:sz w:val="32"/>
          <w:szCs w:val="32"/>
        </w:rPr>
        <w:t>作出的政策承诺和签订的合同，不得以行政区划调整、政府换届、部门或者人员更替、政策调整等为由违约。确因国家利益、公共利益或者其他法定事由需要改变政策承诺和合同约定的，应当按照法定权限和程序进行，并依法对市场主体因此受到的损失予以补偿。</w:t>
      </w:r>
    </w:p>
    <w:p w:rsidR="008F236F"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第三十四条</w:t>
      </w:r>
      <w:r w:rsidRPr="00FA69AE">
        <w:rPr>
          <w:rFonts w:ascii="仿宋_GB2312" w:eastAsia="仿宋_GB2312" w:hAnsi="Times New Roman" w:cs="Times New Roman" w:hint="eastAsia"/>
          <w:bCs/>
          <w:color w:val="000000"/>
          <w:sz w:val="32"/>
          <w:szCs w:val="32"/>
        </w:rPr>
        <w:t xml:space="preserve"> </w:t>
      </w:r>
      <w:r w:rsidR="00763AB8" w:rsidRPr="00FA69AE">
        <w:rPr>
          <w:rFonts w:ascii="仿宋_GB2312" w:eastAsia="仿宋_GB2312" w:hAnsi="Times New Roman" w:cs="Times New Roman" w:hint="eastAsia"/>
          <w:bCs/>
          <w:color w:val="000000"/>
          <w:sz w:val="32"/>
          <w:szCs w:val="32"/>
        </w:rPr>
        <w:t>加强和完善社会信用体系建设，进一步强化政务诚信，持续提升商务诚信、社会诚信、司法公信，提高全社会诚信意识和信用水平，营造诚实、自律、守信、互信的社会信用环境。</w:t>
      </w:r>
    </w:p>
    <w:p w:rsidR="00FA715B" w:rsidRPr="00FA69AE" w:rsidRDefault="008F236F"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完善信用监管体系，建立健全信用信息披露制度和失信联合惩戒、信用修复机制。</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第三十五条</w:t>
      </w:r>
      <w:r w:rsidRPr="00FA69AE">
        <w:rPr>
          <w:rFonts w:ascii="仿宋_GB2312" w:eastAsia="仿宋_GB2312" w:hAnsi="Times New Roman" w:cs="Times New Roman" w:hint="eastAsia"/>
          <w:bCs/>
          <w:color w:val="000000"/>
          <w:sz w:val="32"/>
          <w:szCs w:val="32"/>
        </w:rPr>
        <w:t xml:space="preserve"> 地方各级人民政府及其有关部门应当构建亲</w:t>
      </w:r>
      <w:r w:rsidRPr="00FA69AE">
        <w:rPr>
          <w:rFonts w:ascii="仿宋_GB2312" w:eastAsia="仿宋_GB2312" w:hAnsi="Times New Roman" w:cs="Times New Roman" w:hint="eastAsia"/>
          <w:bCs/>
          <w:color w:val="000000"/>
          <w:sz w:val="32"/>
          <w:szCs w:val="32"/>
        </w:rPr>
        <w:lastRenderedPageBreak/>
        <w:t>清</w:t>
      </w:r>
      <w:r w:rsidR="00965A32" w:rsidRPr="00FA69AE">
        <w:rPr>
          <w:rFonts w:ascii="仿宋_GB2312" w:eastAsia="仿宋_GB2312" w:hAnsi="Times New Roman" w:cs="Times New Roman" w:hint="eastAsia"/>
          <w:bCs/>
          <w:color w:val="000000"/>
          <w:sz w:val="32"/>
          <w:szCs w:val="32"/>
        </w:rPr>
        <w:t>新型</w:t>
      </w:r>
      <w:r w:rsidRPr="00FA69AE">
        <w:rPr>
          <w:rFonts w:ascii="仿宋_GB2312" w:eastAsia="仿宋_GB2312" w:hAnsi="Times New Roman" w:cs="Times New Roman" w:hint="eastAsia"/>
          <w:bCs/>
          <w:color w:val="000000"/>
          <w:sz w:val="32"/>
          <w:szCs w:val="32"/>
        </w:rPr>
        <w:t>政商关系，建立政企沟通机制，及时倾听和回应市场主体的合理建议与诉求，依法解决市场主体生产经营中遇到的困难和问题。</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 xml:space="preserve">第三十六条 </w:t>
      </w:r>
      <w:r w:rsidRPr="00FA69AE">
        <w:rPr>
          <w:rFonts w:ascii="仿宋_GB2312" w:eastAsia="仿宋_GB2312" w:hAnsi="Times New Roman" w:cs="Times New Roman" w:hint="eastAsia"/>
          <w:bCs/>
          <w:color w:val="000000"/>
          <w:sz w:val="32"/>
          <w:szCs w:val="32"/>
        </w:rPr>
        <w:t>县级以上地方人民政府应当定期编制并向社会公布行政审批中介服务事项清单，明确中介服务事项及其法律</w:t>
      </w:r>
      <w:r w:rsidR="00182B7D" w:rsidRPr="00FA69AE">
        <w:rPr>
          <w:rFonts w:ascii="仿宋_GB2312" w:eastAsia="仿宋_GB2312" w:hAnsi="Times New Roman" w:cs="Times New Roman" w:hint="eastAsia"/>
          <w:bCs/>
          <w:color w:val="000000"/>
          <w:sz w:val="32"/>
          <w:szCs w:val="32"/>
        </w:rPr>
        <w:t>、</w:t>
      </w:r>
      <w:r w:rsidRPr="00FA69AE">
        <w:rPr>
          <w:rFonts w:ascii="仿宋_GB2312" w:eastAsia="仿宋_GB2312" w:hAnsi="Times New Roman" w:cs="Times New Roman" w:hint="eastAsia"/>
          <w:bCs/>
          <w:color w:val="000000"/>
          <w:sz w:val="32"/>
          <w:szCs w:val="32"/>
        </w:rPr>
        <w:t>法规或者国务院决定依据。未纳入清单的中介服务事项，不得作为行政审批受理条件。</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 xml:space="preserve">第三十七条 </w:t>
      </w:r>
      <w:r w:rsidRPr="00FA69AE">
        <w:rPr>
          <w:rFonts w:ascii="仿宋_GB2312" w:eastAsia="仿宋_GB2312" w:hAnsi="Times New Roman" w:cs="Times New Roman" w:hint="eastAsia"/>
          <w:bCs/>
          <w:color w:val="000000"/>
          <w:sz w:val="32"/>
          <w:szCs w:val="32"/>
        </w:rPr>
        <w:t>依托全省一体化政务服务平台搭建行政审批中介服务网上平台。中介服务机构按照自愿原则申请入驻平台规范运行。有关部门应当按照法定职责加强中介服务机构监管，引导行业规范发展。</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中介服务机构应当明确办理法定行政审批中介服务的条件、流程、时限、收费标准，并向社会公开。</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市场主体有权自主选择具有合法资质的中介服务机构。行政机关不得为市场主体指定或者变相指定中介服务机构。</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加快推进中介服务机构与行政机关脱钩。行政机关在行政审批过程中委托开展技术性服务的，应当通过竞争性方式选择中介服务机构并支付中介服务费。</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 xml:space="preserve">第三十八条 </w:t>
      </w:r>
      <w:r w:rsidRPr="00FA69AE">
        <w:rPr>
          <w:rFonts w:ascii="仿宋_GB2312" w:eastAsia="仿宋_GB2312" w:hAnsi="Times New Roman" w:cs="Times New Roman" w:hint="eastAsia"/>
          <w:bCs/>
          <w:color w:val="000000"/>
          <w:sz w:val="32"/>
          <w:szCs w:val="32"/>
        </w:rPr>
        <w:t>县级以上地方人民政府及其有关部门应当培育和发展各类行业协会商会，依法规范和监督行业协会商会的收费、评比、认证等行为，支持成渝地区行业协会商会沟通交流互认。</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lastRenderedPageBreak/>
        <w:t>行业协会商会应当加强行业自律，及时反映行业诉求，为市场主体提供信息咨询、宣传培训、市场拓展、权益保护、纠纷协调等服务。</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行业协会商会及其工作人员不得对已取消的资格资质变相进行认定，不得违法开展评比表彰、强制培训，不得擅自设立收费项目、提高收费标准，不得干扰市场主体正常生产经营活动或者损害市场主体权益，不得强制或者变相强制市场主体入会或者退会。</w:t>
      </w:r>
    </w:p>
    <w:p w:rsidR="00FA715B" w:rsidRDefault="00FA715B" w:rsidP="00FA69AE">
      <w:pPr>
        <w:topLinePunct/>
        <w:adjustRightInd w:val="0"/>
        <w:snapToGrid w:val="0"/>
        <w:spacing w:line="576" w:lineRule="exact"/>
        <w:ind w:firstLineChars="200" w:firstLine="640"/>
        <w:rPr>
          <w:rFonts w:ascii="仿宋_GB2312" w:eastAsia="仿宋_GB2312" w:hAnsi="Times New Roman" w:cs="Times New Roman" w:hint="eastAsia"/>
          <w:bCs/>
          <w:color w:val="000000"/>
          <w:sz w:val="32"/>
          <w:szCs w:val="32"/>
        </w:rPr>
      </w:pPr>
      <w:r w:rsidRPr="00FA69AE">
        <w:rPr>
          <w:rFonts w:ascii="黑体" w:eastAsia="黑体" w:hAnsi="黑体" w:cs="Times New Roman" w:hint="eastAsia"/>
          <w:bCs/>
          <w:color w:val="000000"/>
          <w:sz w:val="32"/>
          <w:szCs w:val="32"/>
        </w:rPr>
        <w:t xml:space="preserve">第三十九条 </w:t>
      </w:r>
      <w:r w:rsidRPr="00FA69AE">
        <w:rPr>
          <w:rFonts w:ascii="仿宋_GB2312" w:eastAsia="仿宋_GB2312" w:hAnsi="Times New Roman" w:cs="Times New Roman" w:hint="eastAsia"/>
          <w:bCs/>
          <w:color w:val="000000"/>
          <w:sz w:val="32"/>
          <w:szCs w:val="32"/>
        </w:rPr>
        <w:t>市场主体因自然灾害、事故灾难或者公共卫生事件等突发事件造成生产经营困难的，县级以上地方人民政府及其有关部门应当根据市场主体损失情况及时制定救助、安置及推动经济社会稳定持续发展的相关措施并组织实施。</w:t>
      </w:r>
    </w:p>
    <w:p w:rsidR="00FA69AE" w:rsidRPr="00FA69AE" w:rsidRDefault="00FA69AE"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p>
    <w:p w:rsidR="00FA715B" w:rsidRDefault="00FA715B" w:rsidP="00FA69AE">
      <w:pPr>
        <w:topLinePunct/>
        <w:spacing w:line="576" w:lineRule="exact"/>
        <w:jc w:val="center"/>
        <w:outlineLvl w:val="0"/>
        <w:rPr>
          <w:rFonts w:ascii="Times New Roman" w:eastAsia="黑体" w:hAnsi="Times New Roman" w:cs="Times New Roman" w:hint="eastAsia"/>
          <w:bCs/>
          <w:sz w:val="32"/>
          <w:szCs w:val="32"/>
        </w:rPr>
      </w:pPr>
      <w:r w:rsidRPr="00FA69AE">
        <w:rPr>
          <w:rFonts w:ascii="Times New Roman" w:eastAsia="黑体" w:hAnsi="Times New Roman" w:cs="Times New Roman" w:hint="eastAsia"/>
          <w:bCs/>
          <w:sz w:val="32"/>
          <w:szCs w:val="32"/>
        </w:rPr>
        <w:t>第三章</w:t>
      </w:r>
      <w:r w:rsidRPr="00FA69AE">
        <w:rPr>
          <w:rFonts w:ascii="Times New Roman" w:eastAsia="黑体" w:hAnsi="Times New Roman" w:cs="Times New Roman" w:hint="eastAsia"/>
          <w:bCs/>
          <w:sz w:val="32"/>
          <w:szCs w:val="32"/>
        </w:rPr>
        <w:t xml:space="preserve">  </w:t>
      </w:r>
      <w:r w:rsidRPr="00FA69AE">
        <w:rPr>
          <w:rFonts w:ascii="Times New Roman" w:eastAsia="黑体" w:hAnsi="Times New Roman" w:cs="Times New Roman" w:hint="eastAsia"/>
          <w:bCs/>
          <w:sz w:val="32"/>
          <w:szCs w:val="32"/>
        </w:rPr>
        <w:t>政务服务</w:t>
      </w:r>
    </w:p>
    <w:p w:rsidR="00FA69AE" w:rsidRPr="00FA69AE" w:rsidRDefault="00FA69AE" w:rsidP="00FA69AE">
      <w:pPr>
        <w:topLinePunct/>
        <w:spacing w:line="576" w:lineRule="exact"/>
        <w:jc w:val="center"/>
        <w:outlineLvl w:val="0"/>
        <w:rPr>
          <w:rFonts w:ascii="Times New Roman" w:eastAsia="黑体" w:hAnsi="Times New Roman" w:cs="Times New Roman"/>
          <w:bCs/>
          <w:sz w:val="32"/>
          <w:szCs w:val="32"/>
        </w:rPr>
      </w:pP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第四十条</w:t>
      </w:r>
      <w:r w:rsidRPr="00FA69AE">
        <w:rPr>
          <w:rFonts w:ascii="仿宋_GB2312" w:eastAsia="仿宋_GB2312" w:hAnsi="Times New Roman" w:cs="Times New Roman" w:hint="eastAsia"/>
          <w:bCs/>
          <w:color w:val="000000"/>
          <w:sz w:val="32"/>
          <w:szCs w:val="32"/>
        </w:rPr>
        <w:t xml:space="preserve"> 县级以上地方人民政府及其有关部门应当统一政务服务标准，创新政务服务方式，推动区块链、人工智能、大数据、物联网等新一代信息技术在政务服务领域的应用，不断提高政务服务质量，为市场主体提供规范、便利、高效的政务服务。</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 xml:space="preserve">第四十一条 </w:t>
      </w:r>
      <w:r w:rsidR="006B3F51" w:rsidRPr="00FA69AE">
        <w:rPr>
          <w:rFonts w:ascii="仿宋_GB2312" w:eastAsia="仿宋_GB2312" w:hAnsi="Times New Roman" w:cs="Times New Roman" w:hint="eastAsia"/>
          <w:bCs/>
          <w:color w:val="000000"/>
          <w:sz w:val="32"/>
          <w:szCs w:val="32"/>
        </w:rPr>
        <w:t>省人民政府应当</w:t>
      </w:r>
      <w:r w:rsidRPr="00FA69AE">
        <w:rPr>
          <w:rFonts w:ascii="仿宋_GB2312" w:eastAsia="仿宋_GB2312" w:hAnsi="Times New Roman" w:cs="Times New Roman" w:hint="eastAsia"/>
          <w:bCs/>
          <w:color w:val="000000"/>
          <w:sz w:val="32"/>
          <w:szCs w:val="32"/>
        </w:rPr>
        <w:t>按照减环节、减材料、减时限要求和国家标准规范，</w:t>
      </w:r>
      <w:r w:rsidR="002C1849" w:rsidRPr="00FA69AE">
        <w:rPr>
          <w:rFonts w:ascii="仿宋_GB2312" w:eastAsia="仿宋_GB2312" w:hAnsi="Times New Roman" w:cs="Times New Roman" w:hint="eastAsia"/>
          <w:bCs/>
          <w:color w:val="000000"/>
          <w:sz w:val="32"/>
          <w:szCs w:val="32"/>
        </w:rPr>
        <w:t>组织</w:t>
      </w:r>
      <w:r w:rsidRPr="00FA69AE">
        <w:rPr>
          <w:rFonts w:ascii="仿宋_GB2312" w:eastAsia="仿宋_GB2312" w:hAnsi="Times New Roman" w:cs="Times New Roman" w:hint="eastAsia"/>
          <w:bCs/>
          <w:color w:val="000000"/>
          <w:sz w:val="32"/>
          <w:szCs w:val="32"/>
        </w:rPr>
        <w:t>编制全省统一的政务服务事项清单，</w:t>
      </w:r>
      <w:r w:rsidRPr="00FA69AE">
        <w:rPr>
          <w:rFonts w:ascii="仿宋_GB2312" w:eastAsia="仿宋_GB2312" w:hAnsi="Times New Roman" w:cs="Times New Roman" w:hint="eastAsia"/>
          <w:bCs/>
          <w:color w:val="000000"/>
          <w:sz w:val="32"/>
          <w:szCs w:val="32"/>
        </w:rPr>
        <w:lastRenderedPageBreak/>
        <w:t>逐项明确事项名称、设定依据、实施机关、实施范围、申请材料、办理程序、办理时限、有效期等并向社会公开。因承接、下放、取消、调整等事由变动政务服务事项清单的，应当及时更新清单。</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没有法律</w:t>
      </w:r>
      <w:r w:rsidR="00073011" w:rsidRPr="00FA69AE">
        <w:rPr>
          <w:rFonts w:ascii="仿宋_GB2312" w:eastAsia="仿宋_GB2312" w:hAnsi="Times New Roman" w:cs="Times New Roman" w:hint="eastAsia"/>
          <w:bCs/>
          <w:color w:val="000000"/>
          <w:sz w:val="32"/>
          <w:szCs w:val="32"/>
        </w:rPr>
        <w:t>、</w:t>
      </w:r>
      <w:r w:rsidRPr="00FA69AE">
        <w:rPr>
          <w:rFonts w:ascii="仿宋_GB2312" w:eastAsia="仿宋_GB2312" w:hAnsi="Times New Roman" w:cs="Times New Roman" w:hint="eastAsia"/>
          <w:bCs/>
          <w:color w:val="000000"/>
          <w:sz w:val="32"/>
          <w:szCs w:val="32"/>
        </w:rPr>
        <w:t>法规</w:t>
      </w:r>
      <w:r w:rsidR="00073011" w:rsidRPr="00FA69AE">
        <w:rPr>
          <w:rFonts w:ascii="仿宋_GB2312" w:eastAsia="仿宋_GB2312" w:hAnsi="Times New Roman" w:cs="Times New Roman" w:hint="eastAsia"/>
          <w:bCs/>
          <w:color w:val="000000"/>
          <w:sz w:val="32"/>
          <w:szCs w:val="32"/>
        </w:rPr>
        <w:t>、</w:t>
      </w:r>
      <w:r w:rsidRPr="00FA69AE">
        <w:rPr>
          <w:rFonts w:ascii="仿宋_GB2312" w:eastAsia="仿宋_GB2312" w:hAnsi="Times New Roman" w:cs="Times New Roman" w:hint="eastAsia"/>
          <w:bCs/>
          <w:color w:val="000000"/>
          <w:sz w:val="32"/>
          <w:szCs w:val="32"/>
        </w:rPr>
        <w:t>规章依据，不得增设政务服务事项的办理条件和环节。</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第四十二条</w:t>
      </w:r>
      <w:r w:rsidRPr="00FA69AE">
        <w:rPr>
          <w:rFonts w:ascii="仿宋_GB2312" w:eastAsia="仿宋_GB2312" w:hAnsi="Times New Roman" w:cs="Times New Roman" w:hint="eastAsia"/>
          <w:bCs/>
          <w:color w:val="000000"/>
          <w:sz w:val="32"/>
          <w:szCs w:val="32"/>
        </w:rPr>
        <w:t xml:space="preserve"> 行政许可事项实行清单管理制度，及时向社会公布并实行动态调整。</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清单之外，不得违法设定或者以备案、登记、注册、目录、规划、年检、年报、监制、认定、认证、审定以及其他任何形式变相设定或者实施行政许可。对国家和省已经取消的行政许可事项，不得继续实施、变相恢复实施或者转由行业协会商会以及其他组织实施。</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 xml:space="preserve">第四十三条 </w:t>
      </w:r>
      <w:r w:rsidRPr="00FA69AE">
        <w:rPr>
          <w:rFonts w:ascii="仿宋_GB2312" w:eastAsia="仿宋_GB2312" w:hAnsi="Times New Roman" w:cs="Times New Roman" w:hint="eastAsia"/>
          <w:bCs/>
          <w:color w:val="000000"/>
          <w:sz w:val="32"/>
          <w:szCs w:val="32"/>
        </w:rPr>
        <w:t>县级以上地方人民政府应当强化跨地区、跨部门、跨层级协同审批和并联审批，提高涉企事项办理效率。</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县级以上地方人民政府应当建立重大项目联系制度和协调处理机制，为企业提供全流程服务保障。</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 xml:space="preserve">第四十四条 </w:t>
      </w:r>
      <w:r w:rsidRPr="00FA69AE">
        <w:rPr>
          <w:rFonts w:ascii="仿宋_GB2312" w:eastAsia="仿宋_GB2312" w:hAnsi="Times New Roman" w:cs="Times New Roman" w:hint="eastAsia"/>
          <w:bCs/>
          <w:color w:val="000000"/>
          <w:sz w:val="32"/>
          <w:szCs w:val="32"/>
        </w:rPr>
        <w:t>县级以上地方各级人民政府政务服务大厅实行政务服务事项集中受理办理、限时办结，为市场主体提供便利。</w:t>
      </w:r>
      <w:r w:rsidR="00513F13" w:rsidRPr="00FA69AE">
        <w:rPr>
          <w:rFonts w:ascii="仿宋_GB2312" w:eastAsia="仿宋_GB2312" w:hAnsi="Times New Roman" w:cs="Times New Roman" w:hint="eastAsia"/>
          <w:bCs/>
          <w:color w:val="000000"/>
          <w:sz w:val="32"/>
          <w:szCs w:val="32"/>
        </w:rPr>
        <w:t>建立健全乡镇</w:t>
      </w:r>
      <w:r w:rsidR="002072A9" w:rsidRPr="00FA69AE">
        <w:rPr>
          <w:rFonts w:ascii="仿宋_GB2312" w:eastAsia="仿宋_GB2312" w:hAnsi="Times New Roman" w:cs="Times New Roman" w:hint="eastAsia"/>
          <w:bCs/>
          <w:color w:val="000000"/>
          <w:sz w:val="32"/>
          <w:szCs w:val="32"/>
        </w:rPr>
        <w:t>（街道）</w:t>
      </w:r>
      <w:r w:rsidR="00513F13" w:rsidRPr="00FA69AE">
        <w:rPr>
          <w:rFonts w:ascii="仿宋_GB2312" w:eastAsia="仿宋_GB2312" w:hAnsi="Times New Roman" w:cs="Times New Roman" w:hint="eastAsia"/>
          <w:bCs/>
          <w:color w:val="000000"/>
          <w:sz w:val="32"/>
          <w:szCs w:val="32"/>
        </w:rPr>
        <w:t>便民服务中心。</w:t>
      </w:r>
      <w:r w:rsidR="005C26A8" w:rsidRPr="00FA69AE">
        <w:rPr>
          <w:rFonts w:ascii="仿宋_GB2312" w:eastAsia="仿宋_GB2312" w:hAnsi="Times New Roman" w:cs="Times New Roman" w:hint="eastAsia"/>
          <w:bCs/>
          <w:color w:val="000000"/>
          <w:sz w:val="32"/>
          <w:szCs w:val="32"/>
        </w:rPr>
        <w:t>村</w:t>
      </w:r>
      <w:r w:rsidRPr="00FA69AE">
        <w:rPr>
          <w:rFonts w:ascii="仿宋_GB2312" w:eastAsia="仿宋_GB2312" w:hAnsi="Times New Roman" w:cs="Times New Roman" w:hint="eastAsia"/>
          <w:bCs/>
          <w:color w:val="000000"/>
          <w:sz w:val="32"/>
          <w:szCs w:val="32"/>
        </w:rPr>
        <w:t>（</w:t>
      </w:r>
      <w:r w:rsidR="005C26A8" w:rsidRPr="00FA69AE">
        <w:rPr>
          <w:rFonts w:ascii="仿宋_GB2312" w:eastAsia="仿宋_GB2312" w:hAnsi="Times New Roman" w:cs="Times New Roman" w:hint="eastAsia"/>
          <w:bCs/>
          <w:color w:val="000000"/>
          <w:sz w:val="32"/>
          <w:szCs w:val="32"/>
        </w:rPr>
        <w:t>社区</w:t>
      </w:r>
      <w:r w:rsidRPr="00FA69AE">
        <w:rPr>
          <w:rFonts w:ascii="仿宋_GB2312" w:eastAsia="仿宋_GB2312" w:hAnsi="Times New Roman" w:cs="Times New Roman" w:hint="eastAsia"/>
          <w:bCs/>
          <w:color w:val="000000"/>
          <w:sz w:val="32"/>
          <w:szCs w:val="32"/>
        </w:rPr>
        <w:t>）便民服务站点提供延伸服务。</w:t>
      </w:r>
    </w:p>
    <w:p w:rsidR="00FA715B" w:rsidRPr="00FA69AE" w:rsidRDefault="00EA73F2"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优化提升政务服务一站式</w:t>
      </w:r>
      <w:r w:rsidR="00FA715B" w:rsidRPr="00FA69AE">
        <w:rPr>
          <w:rFonts w:ascii="仿宋_GB2312" w:eastAsia="仿宋_GB2312" w:hAnsi="Times New Roman" w:cs="Times New Roman" w:hint="eastAsia"/>
          <w:bCs/>
          <w:color w:val="000000"/>
          <w:sz w:val="32"/>
          <w:szCs w:val="32"/>
        </w:rPr>
        <w:t>功能，除因特殊原因外，原则上</w:t>
      </w:r>
      <w:r w:rsidR="00FA715B" w:rsidRPr="00FA69AE">
        <w:rPr>
          <w:rFonts w:ascii="仿宋_GB2312" w:eastAsia="仿宋_GB2312" w:hAnsi="Times New Roman" w:cs="Times New Roman" w:hint="eastAsia"/>
          <w:bCs/>
          <w:color w:val="000000"/>
          <w:sz w:val="32"/>
          <w:szCs w:val="32"/>
        </w:rPr>
        <w:lastRenderedPageBreak/>
        <w:t>不再保留各部门单独设立的政务服务大厅，实现政务服务事项进驻综合性实体政务服务大厅“应进必进”。鼓励中央垂直管理部门将其实施的政务服务事项纳入所在地方政务服务大厅集中办理。</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政务服务实行“一窗分类办理”，推行“前台综合受理、后台分类审批、综合窗口出件”工作模式，实行一个窗口受理、后台集成服务。</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推进高频事项全域通办和就近可办，省、市（州）、县（市、区）人民政府应</w:t>
      </w:r>
      <w:r w:rsidR="008C6D22" w:rsidRPr="00FA69AE">
        <w:rPr>
          <w:rFonts w:ascii="仿宋_GB2312" w:eastAsia="仿宋_GB2312" w:hAnsi="Times New Roman" w:cs="Times New Roman" w:hint="eastAsia"/>
          <w:bCs/>
          <w:color w:val="000000"/>
          <w:sz w:val="32"/>
          <w:szCs w:val="32"/>
        </w:rPr>
        <w:t>当</w:t>
      </w:r>
      <w:r w:rsidRPr="00FA69AE">
        <w:rPr>
          <w:rFonts w:ascii="仿宋_GB2312" w:eastAsia="仿宋_GB2312" w:hAnsi="Times New Roman" w:cs="Times New Roman" w:hint="eastAsia"/>
          <w:bCs/>
          <w:color w:val="000000"/>
          <w:sz w:val="32"/>
          <w:szCs w:val="32"/>
        </w:rPr>
        <w:t>分别制定并发布全省通办、全市</w:t>
      </w:r>
      <w:r w:rsidR="00E94F93" w:rsidRPr="00FA69AE">
        <w:rPr>
          <w:rFonts w:ascii="仿宋_GB2312" w:eastAsia="仿宋_GB2312" w:hAnsi="Times New Roman" w:cs="Times New Roman" w:hint="eastAsia"/>
          <w:bCs/>
          <w:color w:val="000000"/>
          <w:sz w:val="32"/>
          <w:szCs w:val="32"/>
        </w:rPr>
        <w:t>（州）</w:t>
      </w:r>
      <w:r w:rsidRPr="00FA69AE">
        <w:rPr>
          <w:rFonts w:ascii="仿宋_GB2312" w:eastAsia="仿宋_GB2312" w:hAnsi="Times New Roman" w:cs="Times New Roman" w:hint="eastAsia"/>
          <w:bCs/>
          <w:color w:val="000000"/>
          <w:sz w:val="32"/>
          <w:szCs w:val="32"/>
        </w:rPr>
        <w:t>通办和全县</w:t>
      </w:r>
      <w:r w:rsidR="00E94F93" w:rsidRPr="00FA69AE">
        <w:rPr>
          <w:rFonts w:ascii="仿宋_GB2312" w:eastAsia="仿宋_GB2312" w:hAnsi="Times New Roman" w:cs="Times New Roman" w:hint="eastAsia"/>
          <w:bCs/>
          <w:color w:val="000000"/>
          <w:sz w:val="32"/>
          <w:szCs w:val="32"/>
        </w:rPr>
        <w:t>（市、区）</w:t>
      </w:r>
      <w:r w:rsidRPr="00FA69AE">
        <w:rPr>
          <w:rFonts w:ascii="仿宋_GB2312" w:eastAsia="仿宋_GB2312" w:hAnsi="Times New Roman" w:cs="Times New Roman" w:hint="eastAsia"/>
          <w:bCs/>
          <w:color w:val="000000"/>
          <w:sz w:val="32"/>
          <w:szCs w:val="32"/>
        </w:rPr>
        <w:t>通办清单。依法有序推动一批高频事项下沉至乡镇（街道）办理。</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县级以上地方人民政府及其有关部门应当根据需要在产业园区设立政务服务窗口。鼓励各类产业园区设立一站式企业服务受理点，提供企业开办、项目建设、人才服务等政策咨询和代办服务。</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 xml:space="preserve">第四十五条 </w:t>
      </w:r>
      <w:r w:rsidRPr="00FA69AE">
        <w:rPr>
          <w:rFonts w:ascii="仿宋_GB2312" w:eastAsia="仿宋_GB2312" w:hAnsi="Times New Roman" w:cs="Times New Roman" w:hint="eastAsia"/>
          <w:bCs/>
          <w:color w:val="000000"/>
          <w:sz w:val="32"/>
          <w:szCs w:val="32"/>
        </w:rPr>
        <w:t>不动产登记机构应当按照国家有关规定，加强与住房城乡建设、</w:t>
      </w:r>
      <w:r w:rsidR="00E10138" w:rsidRPr="00FA69AE">
        <w:rPr>
          <w:rFonts w:ascii="仿宋_GB2312" w:eastAsia="仿宋_GB2312" w:hAnsi="Times New Roman" w:cs="Times New Roman" w:hint="eastAsia"/>
          <w:bCs/>
          <w:color w:val="000000"/>
          <w:sz w:val="32"/>
          <w:szCs w:val="32"/>
        </w:rPr>
        <w:t>税务等部门的协作，为市场主体转让不动产提供登记、交易和缴税一窗受</w:t>
      </w:r>
      <w:r w:rsidRPr="00FA69AE">
        <w:rPr>
          <w:rFonts w:ascii="仿宋_GB2312" w:eastAsia="仿宋_GB2312" w:hAnsi="Times New Roman" w:cs="Times New Roman" w:hint="eastAsia"/>
          <w:bCs/>
          <w:color w:val="000000"/>
          <w:sz w:val="32"/>
          <w:szCs w:val="32"/>
        </w:rPr>
        <w:t>理、</w:t>
      </w:r>
      <w:r w:rsidR="00E10138" w:rsidRPr="00FA69AE">
        <w:rPr>
          <w:rFonts w:ascii="仿宋_GB2312" w:eastAsia="仿宋_GB2312" w:hAnsi="Times New Roman" w:cs="Times New Roman" w:hint="eastAsia"/>
          <w:bCs/>
          <w:color w:val="000000"/>
          <w:sz w:val="32"/>
          <w:szCs w:val="32"/>
        </w:rPr>
        <w:t>并行办理</w:t>
      </w:r>
      <w:r w:rsidRPr="00FA69AE">
        <w:rPr>
          <w:rFonts w:ascii="仿宋_GB2312" w:eastAsia="仿宋_GB2312" w:hAnsi="Times New Roman" w:cs="Times New Roman" w:hint="eastAsia"/>
          <w:bCs/>
          <w:color w:val="000000"/>
          <w:sz w:val="32"/>
          <w:szCs w:val="32"/>
        </w:rPr>
        <w:t>。</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实行统一的动产担保登记制度，推动市场主体通过中国人民银行征信中心的动产融资统一登记公示系统办理动产担保登记，为市场主体提供统一、便捷、高效的登记、变更、查询、注销等服务。航空器、船舶、知识产权、机动车等担保登记除</w:t>
      </w:r>
      <w:r w:rsidRPr="00FA69AE">
        <w:rPr>
          <w:rFonts w:ascii="仿宋_GB2312" w:eastAsia="仿宋_GB2312" w:hAnsi="Times New Roman" w:cs="Times New Roman" w:hint="eastAsia"/>
          <w:bCs/>
          <w:color w:val="000000"/>
          <w:sz w:val="32"/>
          <w:szCs w:val="32"/>
        </w:rPr>
        <w:lastRenderedPageBreak/>
        <w:t>外。</w:t>
      </w:r>
    </w:p>
    <w:p w:rsidR="002072A9"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第四十六条</w:t>
      </w:r>
      <w:r w:rsidRPr="00FA69AE">
        <w:rPr>
          <w:rFonts w:ascii="仿宋_GB2312" w:eastAsia="仿宋_GB2312" w:hAnsi="Times New Roman" w:cs="Times New Roman" w:hint="eastAsia"/>
          <w:bCs/>
          <w:color w:val="000000"/>
          <w:sz w:val="32"/>
          <w:szCs w:val="32"/>
        </w:rPr>
        <w:t xml:space="preserve"> 依托全国一体化在线政务服务平台建设全省一体化政务服务平台和统一兼容的身份认证体系，</w:t>
      </w:r>
      <w:r w:rsidR="002072A9" w:rsidRPr="00FA69AE">
        <w:rPr>
          <w:rFonts w:ascii="仿宋_GB2312" w:eastAsia="仿宋_GB2312" w:hAnsi="Times New Roman" w:cs="Times New Roman" w:hint="eastAsia"/>
          <w:bCs/>
          <w:color w:val="000000"/>
          <w:sz w:val="32"/>
          <w:szCs w:val="32"/>
        </w:rPr>
        <w:t>推行“一网通办”，</w:t>
      </w:r>
      <w:r w:rsidRPr="00FA69AE">
        <w:rPr>
          <w:rFonts w:ascii="仿宋_GB2312" w:eastAsia="仿宋_GB2312" w:hAnsi="Times New Roman" w:cs="Times New Roman" w:hint="eastAsia"/>
          <w:bCs/>
          <w:color w:val="000000"/>
          <w:sz w:val="32"/>
          <w:szCs w:val="32"/>
        </w:rPr>
        <w:t>全面联通、整合各地各部门网上政务服务系统。</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除法律</w:t>
      </w:r>
      <w:r w:rsidR="00254FF9" w:rsidRPr="00FA69AE">
        <w:rPr>
          <w:rFonts w:ascii="仿宋_GB2312" w:eastAsia="仿宋_GB2312" w:hAnsi="Times New Roman" w:cs="Times New Roman" w:hint="eastAsia"/>
          <w:bCs/>
          <w:color w:val="000000"/>
          <w:sz w:val="32"/>
          <w:szCs w:val="32"/>
        </w:rPr>
        <w:t>、</w:t>
      </w:r>
      <w:r w:rsidRPr="00FA69AE">
        <w:rPr>
          <w:rFonts w:ascii="仿宋_GB2312" w:eastAsia="仿宋_GB2312" w:hAnsi="Times New Roman" w:cs="Times New Roman" w:hint="eastAsia"/>
          <w:bCs/>
          <w:color w:val="000000"/>
          <w:sz w:val="32"/>
          <w:szCs w:val="32"/>
        </w:rPr>
        <w:t>法规另有规定或涉及国家安全、国家秘密等特殊情形外，所有政务服务事项纳入全省一体化政务服务平台办理，按照全国一体化在线政务服务平台相关标准规范，实行网上咨询、网上申报、网上受理、网上审查、网上办结、网上反馈。</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各级政务服务事项办理部门应当通过全国一体化在线政务服务平台查询、校验市场主体信息，对平台已经采集的信息，不得要求申请人重复提交。</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推进政务服务大厅与全省一体化政务服务平台深度对接融合。市场主体有权自主选择政务服务办理渠道，各部门不得限定办理渠道。</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 xml:space="preserve">第四十七条 </w:t>
      </w:r>
      <w:r w:rsidRPr="00FA69AE">
        <w:rPr>
          <w:rFonts w:ascii="仿宋_GB2312" w:eastAsia="仿宋_GB2312" w:hAnsi="Times New Roman" w:cs="Times New Roman" w:hint="eastAsia"/>
          <w:bCs/>
          <w:color w:val="000000"/>
          <w:sz w:val="32"/>
          <w:szCs w:val="32"/>
        </w:rPr>
        <w:t>按照国家政务服务平台移动端建设要求，创立统一的四川政务服务掌上办事总门户，逐步实现民生领域服务事项掌上可办。</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 xml:space="preserve">第四十八条 </w:t>
      </w:r>
      <w:r w:rsidRPr="00FA69AE">
        <w:rPr>
          <w:rFonts w:ascii="仿宋_GB2312" w:eastAsia="仿宋_GB2312" w:hAnsi="Times New Roman" w:cs="Times New Roman" w:hint="eastAsia"/>
          <w:bCs/>
          <w:color w:val="000000"/>
          <w:sz w:val="32"/>
          <w:szCs w:val="32"/>
        </w:rPr>
        <w:t>省人民政府依托“12345”政务服务热线电话，整合各类政务服务、便民服务电话，对市场主体有关营商环境的咨询和投诉举报实行一号响应，提升市场主体问政咨询服务效率，推进建立成渝地区“12345”政务服务热线联动机制。</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第四十九条</w:t>
      </w:r>
      <w:r w:rsidRPr="00FA69AE">
        <w:rPr>
          <w:rFonts w:ascii="仿宋_GB2312" w:eastAsia="仿宋_GB2312" w:hAnsi="Times New Roman" w:cs="Times New Roman" w:hint="eastAsia"/>
          <w:bCs/>
          <w:color w:val="000000"/>
          <w:sz w:val="32"/>
          <w:szCs w:val="32"/>
        </w:rPr>
        <w:t xml:space="preserve"> 县级以上地方人民政府应当深化投资审批制</w:t>
      </w:r>
      <w:r w:rsidRPr="00FA69AE">
        <w:rPr>
          <w:rFonts w:ascii="仿宋_GB2312" w:eastAsia="仿宋_GB2312" w:hAnsi="Times New Roman" w:cs="Times New Roman" w:hint="eastAsia"/>
          <w:bCs/>
          <w:color w:val="000000"/>
          <w:sz w:val="32"/>
          <w:szCs w:val="32"/>
        </w:rPr>
        <w:lastRenderedPageBreak/>
        <w:t>度改革，分类精简审批要件，优化技术审查，规范投资审批程序，协同项目决策与用地、规划等建设条件的落实，实行相关审批在线并联办理。</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第五十条</w:t>
      </w:r>
      <w:r w:rsidRPr="00FA69AE">
        <w:rPr>
          <w:rFonts w:ascii="仿宋_GB2312" w:eastAsia="仿宋_GB2312" w:hAnsi="Times New Roman" w:cs="Times New Roman" w:hint="eastAsia"/>
          <w:bCs/>
          <w:color w:val="000000"/>
          <w:sz w:val="32"/>
          <w:szCs w:val="32"/>
        </w:rPr>
        <w:t xml:space="preserve"> 省、市（州）人民政府应当按照国家有关规定，依托全省统一的工程建设项目审批相关信息平台，开展工程建设项目分阶段审批，推行并联审批、数字审图、方案联审、联合测绘、联合验收等方式，提高审批效能，特殊工程除外。</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加强对重大工程建设项目跨前服务，对不影响安全和公共利益的非关键要件在审批流程中探索试点“容缺后补”机制，允许市场主体在竣工验收备案前补齐相关材料。</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对社会投资小型低风险建设项目，建设工程规划许可和施工许可可以合并办理，建设单位一次性获取建设工程规划许可证、工程施工许可证等审批证照。</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 xml:space="preserve">第五十一条 </w:t>
      </w:r>
      <w:r w:rsidRPr="00FA69AE">
        <w:rPr>
          <w:rFonts w:ascii="仿宋_GB2312" w:eastAsia="仿宋_GB2312" w:hAnsi="Times New Roman" w:cs="Times New Roman" w:hint="eastAsia"/>
          <w:bCs/>
          <w:color w:val="000000"/>
          <w:sz w:val="32"/>
          <w:szCs w:val="32"/>
        </w:rPr>
        <w:t>在依法设立的自由贸易试验区、经济开发区、新区、产业园区、特色小镇和其他有条件的区域，按照国家有关规定推行区域评估，由市（州）以上地方人民政府对压覆重要矿产资源、环境影响评价、节能评价、地质灾害危险性评估、地震安全性评价、水资源论证等事项组织区域综合评估评审。除特殊工程和交通、水利、能源等领域的重大工程外，区域内工程建设项目共享区域综合评估评审结果，市场主体不再单独开展评估评审。区域评估的费用不得由市场主体承担。</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第五十二条</w:t>
      </w:r>
      <w:r w:rsidRPr="00FA69AE">
        <w:rPr>
          <w:rFonts w:ascii="仿宋_GB2312" w:eastAsia="仿宋_GB2312" w:hAnsi="Times New Roman" w:cs="Times New Roman" w:hint="eastAsia"/>
          <w:bCs/>
          <w:color w:val="000000"/>
          <w:sz w:val="32"/>
          <w:szCs w:val="32"/>
        </w:rPr>
        <w:t xml:space="preserve"> 按照国家规定推行政务服务事项办理告知承</w:t>
      </w:r>
      <w:r w:rsidRPr="00FA69AE">
        <w:rPr>
          <w:rFonts w:ascii="仿宋_GB2312" w:eastAsia="仿宋_GB2312" w:hAnsi="Times New Roman" w:cs="Times New Roman" w:hint="eastAsia"/>
          <w:bCs/>
          <w:color w:val="000000"/>
          <w:sz w:val="32"/>
          <w:szCs w:val="32"/>
        </w:rPr>
        <w:lastRenderedPageBreak/>
        <w:t>诺清单化管理，涉及国家安全、公共安全和人民群众生命健康等的行业、领域除外。</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申请人承诺符合办理条件的，有关审批机关应当直接作出行政审批决定；未履行承诺的，由审批机关责令其限期整改，整改后仍未达到条件的，撤销决定，并将有关情况纳入信用信息平台；作出虚假承诺的，由审批机关直接撤销决定，按照未取得决定擅自从事相关活动追究相应责任，并将有关情况纳入信用信息平台、记入诚信档案。</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对实行告知承诺制的事项，有关部门应当以书面</w:t>
      </w:r>
      <w:r w:rsidR="0067170D" w:rsidRPr="00FA69AE">
        <w:rPr>
          <w:rFonts w:ascii="仿宋_GB2312" w:eastAsia="仿宋_GB2312" w:hAnsi="Times New Roman" w:cs="Times New Roman" w:hint="eastAsia"/>
          <w:bCs/>
          <w:color w:val="000000"/>
          <w:sz w:val="32"/>
          <w:szCs w:val="32"/>
        </w:rPr>
        <w:t>（含电子文本）</w:t>
      </w:r>
      <w:r w:rsidRPr="00FA69AE">
        <w:rPr>
          <w:rFonts w:ascii="仿宋_GB2312" w:eastAsia="仿宋_GB2312" w:hAnsi="Times New Roman" w:cs="Times New Roman" w:hint="eastAsia"/>
          <w:bCs/>
          <w:color w:val="000000"/>
          <w:sz w:val="32"/>
          <w:szCs w:val="32"/>
        </w:rPr>
        <w:t>形式将办理规定、监管规则、违反承诺的法律责任等一次性告知申请人，并提供告知承诺示范文本。</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第五十三条</w:t>
      </w:r>
      <w:r w:rsidRPr="00FA69AE">
        <w:rPr>
          <w:rFonts w:ascii="仿宋_GB2312" w:eastAsia="仿宋_GB2312" w:hAnsi="Times New Roman" w:cs="Times New Roman" w:hint="eastAsia"/>
          <w:bCs/>
          <w:color w:val="000000"/>
          <w:sz w:val="32"/>
          <w:szCs w:val="32"/>
        </w:rPr>
        <w:t xml:space="preserve"> 县级以上地方人民政府应当公布依法保留的证明事项清单，逐项列明设定依据、开具单位、办事指南等。</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列入证明事项告知承诺制清单的，申请人可以自主选择提供证明材料或者采用告知承诺制办理。承诺情况记入申请人信用信息，作为差异化分类监管的重要依据。</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第五十四条</w:t>
      </w:r>
      <w:r w:rsidRPr="00FA69AE">
        <w:rPr>
          <w:rFonts w:ascii="仿宋_GB2312" w:eastAsia="仿宋_GB2312" w:hAnsi="Times New Roman" w:cs="Times New Roman" w:hint="eastAsia"/>
          <w:bCs/>
          <w:color w:val="000000"/>
          <w:sz w:val="32"/>
          <w:szCs w:val="32"/>
        </w:rPr>
        <w:t xml:space="preserve"> 地方各级人民政府及其有关部门在政务服务中推广使用电子证照、电子印章、电子证明、电子签名。符合法律规定的电子证照、电子证明、电子签名、企业电子登记档案与纸质版本具有同等法律效力。除法律</w:t>
      </w:r>
      <w:r w:rsidR="00182B7D" w:rsidRPr="00FA69AE">
        <w:rPr>
          <w:rFonts w:ascii="仿宋_GB2312" w:eastAsia="仿宋_GB2312" w:hAnsi="Times New Roman" w:cs="Times New Roman" w:hint="eastAsia"/>
          <w:bCs/>
          <w:color w:val="000000"/>
          <w:sz w:val="32"/>
          <w:szCs w:val="32"/>
        </w:rPr>
        <w:t>、</w:t>
      </w:r>
      <w:r w:rsidRPr="00FA69AE">
        <w:rPr>
          <w:rFonts w:ascii="仿宋_GB2312" w:eastAsia="仿宋_GB2312" w:hAnsi="Times New Roman" w:cs="Times New Roman" w:hint="eastAsia"/>
          <w:bCs/>
          <w:color w:val="000000"/>
          <w:sz w:val="32"/>
          <w:szCs w:val="32"/>
        </w:rPr>
        <w:t>法规另有规定外，县级以上地方人民政府及其有关部门签发的电子证照应当实时归集到省电子证照库，确保数据完整、安全、准确。</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lastRenderedPageBreak/>
        <w:t>电子证照、电子证明和加盖电子印章或者使用符合《中华人民共和国电子签名法》要求的电子签名进行确认的电子材料，可以作为办理政务服务事项的依据，有关单位不得拒绝办理或者要求申请人提供实体材料，但是依法依规必须核验或者收回证照原件的除外。</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 xml:space="preserve">第五十五条 </w:t>
      </w:r>
      <w:r w:rsidRPr="00FA69AE">
        <w:rPr>
          <w:rFonts w:ascii="仿宋_GB2312" w:eastAsia="仿宋_GB2312" w:hAnsi="Times New Roman" w:cs="Times New Roman" w:hint="eastAsia"/>
          <w:bCs/>
          <w:color w:val="000000"/>
          <w:sz w:val="32"/>
          <w:szCs w:val="32"/>
        </w:rPr>
        <w:t>建立全省统一的电子印章系统，推进电子印章在政务服务、社区事务受理等领域的应用，鼓励市场主体和社会组织在经济和社会活动中使用电子印章。各部门已经建立电子印章系统的，应当实现互认互通。企业电子印章与企业电子营业执照同步免费发放。</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 xml:space="preserve">第五十六条 </w:t>
      </w:r>
      <w:r w:rsidRPr="00FA69AE">
        <w:rPr>
          <w:rFonts w:ascii="仿宋_GB2312" w:eastAsia="仿宋_GB2312" w:hAnsi="Times New Roman" w:cs="Times New Roman" w:hint="eastAsia"/>
          <w:bCs/>
          <w:color w:val="000000"/>
          <w:sz w:val="32"/>
          <w:szCs w:val="32"/>
        </w:rPr>
        <w:t>县级以上地方人民政府及其有关部门应当推行政策兑现事项集成服务模式，全面梳理需要使用财政资金支付的行政奖励、资助、补贴等各项惠企政策，编制政策兑现事项清单，并完善政府网站、政务新媒体的惠企政策集中发布、归类展示、查询搜索等功能，为市场主体提供统一便捷的获取渠道，提高市场主体对惠企政策的知晓度。</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第五十七条</w:t>
      </w:r>
      <w:r w:rsidRPr="00FA69AE">
        <w:rPr>
          <w:rFonts w:ascii="仿宋_GB2312" w:eastAsia="仿宋_GB2312" w:hAnsi="Times New Roman" w:cs="Times New Roman" w:hint="eastAsia"/>
          <w:bCs/>
          <w:color w:val="000000"/>
          <w:sz w:val="32"/>
          <w:szCs w:val="32"/>
        </w:rPr>
        <w:t xml:space="preserve"> 县级以上地方人民政府及其有关部门应当创新制度机制，完善人才引进、培养、激励、保障等政策措施，为优化营商环境提供人力资源支撑。</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 xml:space="preserve">第五十八条 </w:t>
      </w:r>
      <w:r w:rsidRPr="00FA69AE">
        <w:rPr>
          <w:rFonts w:ascii="仿宋_GB2312" w:eastAsia="仿宋_GB2312" w:hAnsi="Times New Roman" w:cs="Times New Roman" w:hint="eastAsia"/>
          <w:bCs/>
          <w:color w:val="000000"/>
          <w:sz w:val="32"/>
          <w:szCs w:val="32"/>
        </w:rPr>
        <w:t>建立以市场主体需求为导向的政务服务“好差评”制度，市场主体可以通过线上线下渠道评价服务绩效，评价结果纳入对有关行政机关的绩效考核。</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lastRenderedPageBreak/>
        <w:t>对“不满意”或者“非常不满意”的评价事项，经查证属实的，应当限期整改；整改结果通过网上政务服务平台、移动端、短信等方式向评价人反馈。</w:t>
      </w:r>
    </w:p>
    <w:p w:rsidR="00836EE3" w:rsidRPr="00FA69AE" w:rsidRDefault="00836EE3" w:rsidP="00FA69AE">
      <w:pPr>
        <w:overflowPunct w:val="0"/>
        <w:adjustRightInd w:val="0"/>
        <w:snapToGrid w:val="0"/>
        <w:spacing w:line="576" w:lineRule="exact"/>
        <w:jc w:val="center"/>
        <w:rPr>
          <w:rFonts w:ascii="方正黑体简体" w:eastAsia="方正黑体简体"/>
          <w:b/>
          <w:sz w:val="32"/>
          <w:szCs w:val="32"/>
        </w:rPr>
      </w:pPr>
    </w:p>
    <w:p w:rsidR="00FA715B" w:rsidRDefault="00FA715B" w:rsidP="00FA69AE">
      <w:pPr>
        <w:topLinePunct/>
        <w:spacing w:line="576" w:lineRule="exact"/>
        <w:jc w:val="center"/>
        <w:outlineLvl w:val="0"/>
        <w:rPr>
          <w:rFonts w:ascii="Times New Roman" w:eastAsia="黑体" w:hAnsi="Times New Roman" w:cs="Times New Roman" w:hint="eastAsia"/>
          <w:bCs/>
          <w:sz w:val="32"/>
          <w:szCs w:val="32"/>
        </w:rPr>
      </w:pPr>
      <w:r w:rsidRPr="00FA69AE">
        <w:rPr>
          <w:rFonts w:ascii="Times New Roman" w:eastAsia="黑体" w:hAnsi="Times New Roman" w:cs="Times New Roman" w:hint="eastAsia"/>
          <w:bCs/>
          <w:sz w:val="32"/>
          <w:szCs w:val="32"/>
        </w:rPr>
        <w:t>第四章</w:t>
      </w:r>
      <w:r w:rsidRPr="00FA69AE">
        <w:rPr>
          <w:rFonts w:ascii="Times New Roman" w:eastAsia="黑体" w:hAnsi="Times New Roman" w:cs="Times New Roman" w:hint="eastAsia"/>
          <w:bCs/>
          <w:sz w:val="32"/>
          <w:szCs w:val="32"/>
        </w:rPr>
        <w:t xml:space="preserve">  </w:t>
      </w:r>
      <w:r w:rsidRPr="00FA69AE">
        <w:rPr>
          <w:rFonts w:ascii="Times New Roman" w:eastAsia="黑体" w:hAnsi="Times New Roman" w:cs="Times New Roman" w:hint="eastAsia"/>
          <w:bCs/>
          <w:sz w:val="32"/>
          <w:szCs w:val="32"/>
        </w:rPr>
        <w:t>法治保障</w:t>
      </w:r>
    </w:p>
    <w:p w:rsidR="00FA69AE" w:rsidRPr="00FA69AE" w:rsidRDefault="00FA69AE" w:rsidP="00FA69AE">
      <w:pPr>
        <w:topLinePunct/>
        <w:spacing w:line="576" w:lineRule="exact"/>
        <w:jc w:val="center"/>
        <w:outlineLvl w:val="0"/>
        <w:rPr>
          <w:rFonts w:ascii="Times New Roman" w:eastAsia="黑体" w:hAnsi="Times New Roman" w:cs="Times New Roman"/>
          <w:bCs/>
          <w:sz w:val="32"/>
          <w:szCs w:val="32"/>
        </w:rPr>
      </w:pPr>
      <w:bookmarkStart w:id="0" w:name="_GoBack"/>
      <w:bookmarkEnd w:id="0"/>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 xml:space="preserve">第五十九条 </w:t>
      </w:r>
      <w:r w:rsidRPr="00FA69AE">
        <w:rPr>
          <w:rFonts w:ascii="仿宋_GB2312" w:eastAsia="仿宋_GB2312" w:hAnsi="Times New Roman" w:cs="Times New Roman" w:hint="eastAsia"/>
          <w:bCs/>
          <w:color w:val="000000"/>
          <w:sz w:val="32"/>
          <w:szCs w:val="32"/>
        </w:rPr>
        <w:t xml:space="preserve"> 制定与市场主体生产经营活动密切相关的地方性法规、政府规章及其他规范性文件，应当充分听取市场主体、行业协会商会的意见，按照规定遵循公众参与、专家论证、风险评估、集体讨论决定等程序，并为市场主体留出必要的适应调整期。</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涉及市场主体权利义务的地方性法规、政府规章及其他规范性文件，应当通过便于公众知晓的方式及时公布，并通过多种途径和方式同步进行宣传解读。</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各级人民政府及其有关部门应当按照职责及时清理不符合优化营商环境要求的有关地方性法规、政府规章及其他规范性文件，并提出修改、废止或者暂时调整适用的建议，制定机关应当按照法定程序及时处理。</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 xml:space="preserve">第六十条 </w:t>
      </w:r>
      <w:r w:rsidRPr="00FA69AE">
        <w:rPr>
          <w:rFonts w:ascii="仿宋_GB2312" w:eastAsia="仿宋_GB2312" w:hAnsi="Times New Roman" w:cs="Times New Roman" w:hint="eastAsia"/>
          <w:bCs/>
          <w:color w:val="000000"/>
          <w:sz w:val="32"/>
          <w:szCs w:val="32"/>
        </w:rPr>
        <w:t>制定涉及市场主体权利义务的规范性文件、政策措施，应当进行合法性审查，并由制定机关集体讨论</w:t>
      </w:r>
      <w:r w:rsidR="0032214F" w:rsidRPr="00FA69AE">
        <w:rPr>
          <w:rFonts w:ascii="仿宋_GB2312" w:eastAsia="仿宋_GB2312" w:hAnsi="Times New Roman" w:cs="Times New Roman" w:hint="eastAsia"/>
          <w:bCs/>
          <w:color w:val="000000"/>
          <w:sz w:val="32"/>
          <w:szCs w:val="32"/>
        </w:rPr>
        <w:t>决</w:t>
      </w:r>
      <w:r w:rsidRPr="00FA69AE">
        <w:rPr>
          <w:rFonts w:ascii="仿宋_GB2312" w:eastAsia="仿宋_GB2312" w:hAnsi="Times New Roman" w:cs="Times New Roman" w:hint="eastAsia"/>
          <w:bCs/>
          <w:color w:val="000000"/>
          <w:sz w:val="32"/>
          <w:szCs w:val="32"/>
        </w:rPr>
        <w:t>定。</w:t>
      </w:r>
    </w:p>
    <w:p w:rsidR="00FA715B" w:rsidRPr="00FA69AE" w:rsidRDefault="00836EE3"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政策制定机关应当</w:t>
      </w:r>
      <w:r w:rsidR="00943856" w:rsidRPr="00FA69AE">
        <w:rPr>
          <w:rFonts w:ascii="仿宋_GB2312" w:eastAsia="仿宋_GB2312" w:hAnsi="Times New Roman" w:cs="Times New Roman" w:hint="eastAsia"/>
          <w:bCs/>
          <w:color w:val="000000"/>
          <w:sz w:val="32"/>
          <w:szCs w:val="32"/>
        </w:rPr>
        <w:t>落实</w:t>
      </w:r>
      <w:r w:rsidRPr="00FA69AE">
        <w:rPr>
          <w:rFonts w:ascii="仿宋_GB2312" w:eastAsia="仿宋_GB2312" w:hAnsi="Times New Roman" w:cs="Times New Roman" w:hint="eastAsia"/>
          <w:bCs/>
          <w:color w:val="000000"/>
          <w:sz w:val="32"/>
          <w:szCs w:val="32"/>
        </w:rPr>
        <w:t>公平竞争审查</w:t>
      </w:r>
      <w:r w:rsidR="00602167" w:rsidRPr="00FA69AE">
        <w:rPr>
          <w:rFonts w:ascii="仿宋_GB2312" w:eastAsia="仿宋_GB2312" w:hAnsi="Times New Roman" w:cs="Times New Roman" w:hint="eastAsia"/>
          <w:bCs/>
          <w:color w:val="000000"/>
          <w:sz w:val="32"/>
          <w:szCs w:val="32"/>
        </w:rPr>
        <w:t>制度</w:t>
      </w:r>
      <w:r w:rsidRPr="00FA69AE">
        <w:rPr>
          <w:rFonts w:ascii="仿宋_GB2312" w:eastAsia="仿宋_GB2312" w:hAnsi="Times New Roman" w:cs="Times New Roman" w:hint="eastAsia"/>
          <w:bCs/>
          <w:color w:val="000000"/>
          <w:sz w:val="32"/>
          <w:szCs w:val="32"/>
        </w:rPr>
        <w:t>。</w:t>
      </w:r>
      <w:r w:rsidR="00FA715B" w:rsidRPr="00FA69AE">
        <w:rPr>
          <w:rFonts w:ascii="仿宋_GB2312" w:eastAsia="仿宋_GB2312" w:hAnsi="Times New Roman" w:cs="Times New Roman" w:hint="eastAsia"/>
          <w:bCs/>
          <w:color w:val="000000"/>
          <w:sz w:val="32"/>
          <w:szCs w:val="32"/>
        </w:rPr>
        <w:t>制定与市场主体生产经营活动密切相关的规章、规范性文件和其他政策措施，</w:t>
      </w:r>
      <w:r w:rsidR="00FA715B" w:rsidRPr="00FA69AE">
        <w:rPr>
          <w:rFonts w:ascii="仿宋_GB2312" w:eastAsia="仿宋_GB2312" w:hAnsi="Times New Roman" w:cs="Times New Roman" w:hint="eastAsia"/>
          <w:bCs/>
          <w:color w:val="000000"/>
          <w:sz w:val="32"/>
          <w:szCs w:val="32"/>
        </w:rPr>
        <w:lastRenderedPageBreak/>
        <w:t>应当进行公平竞争审查。未经审查或者经审查具有排除、限制竞争效果的，不得出台或者提交决策机关审议。</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 xml:space="preserve">第六十一条 </w:t>
      </w:r>
      <w:r w:rsidRPr="00FA69AE">
        <w:rPr>
          <w:rFonts w:ascii="仿宋_GB2312" w:eastAsia="仿宋_GB2312" w:hAnsi="Times New Roman" w:cs="Times New Roman" w:hint="eastAsia"/>
          <w:bCs/>
          <w:color w:val="000000"/>
          <w:sz w:val="32"/>
          <w:szCs w:val="32"/>
        </w:rPr>
        <w:t>县级以上地方人民政府及其有关部门应当按照鼓励创新的原则，对新技术、新产业、新业态、新模式等实行包容审慎监管，针对其性质、特点分类制定和实行相应的监管规则和标准，不得简单化予以禁止或者不予监管。</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第六十二条</w:t>
      </w:r>
      <w:r w:rsidRPr="00FA69AE">
        <w:rPr>
          <w:rFonts w:ascii="仿宋_GB2312" w:eastAsia="仿宋_GB2312" w:hAnsi="Times New Roman" w:cs="Times New Roman" w:hint="eastAsia"/>
          <w:bCs/>
          <w:color w:val="000000"/>
          <w:sz w:val="32"/>
          <w:szCs w:val="32"/>
        </w:rPr>
        <w:t xml:space="preserve"> 除直接涉及公共安全和人民群众生命健康等特殊行业、重点领域外，市场监管领域的行政检查实行“双随机一公开”监管全覆盖。推进检查结果共享共用和公开公示。</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同一部门对市场主体实施的多项检查，应当尽可能合并进行。多个部门对同一市场主体实施的多项检查，由本级人民政府协调，明确由一个部门牵头实行联合检查。</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县级以上地方人民政府有关部门应当依托国家在线监管系统，加强监管信息归集共享和关联整合，推行以远程监管、移动监管、预警防控为特征的非现场监管，提升监管的精准化、智能化水平。</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第六十三条</w:t>
      </w:r>
      <w:r w:rsidRPr="00FA69AE">
        <w:rPr>
          <w:rFonts w:ascii="仿宋_GB2312" w:eastAsia="仿宋_GB2312" w:hAnsi="Times New Roman" w:cs="Times New Roman" w:hint="eastAsia"/>
          <w:bCs/>
          <w:color w:val="000000"/>
          <w:sz w:val="32"/>
          <w:szCs w:val="32"/>
        </w:rPr>
        <w:t xml:space="preserve"> 统筹配置行政执法职能和执法资源，在相关领域推行综合行政执法，整合精简执法队伍，减少执法主体和层级，提高基层执法能力。</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行政机关开展行政执法，应当严格执行执法公示制度、执法全过程记录制度、重大执法决定法制审核制度。严格禁止无法定依据或者未经法定程序，影响、阻碍市场主体正常生产经</w:t>
      </w:r>
      <w:r w:rsidRPr="00FA69AE">
        <w:rPr>
          <w:rFonts w:ascii="仿宋_GB2312" w:eastAsia="仿宋_GB2312" w:hAnsi="Times New Roman" w:cs="Times New Roman" w:hint="eastAsia"/>
          <w:bCs/>
          <w:color w:val="000000"/>
          <w:sz w:val="32"/>
          <w:szCs w:val="32"/>
        </w:rPr>
        <w:lastRenderedPageBreak/>
        <w:t>营活动的执法行为。</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第六十四条</w:t>
      </w:r>
      <w:r w:rsidRPr="00FA69AE">
        <w:rPr>
          <w:rFonts w:ascii="仿宋_GB2312" w:eastAsia="仿宋_GB2312" w:hAnsi="Times New Roman" w:cs="Times New Roman" w:hint="eastAsia"/>
          <w:bCs/>
          <w:color w:val="000000"/>
          <w:sz w:val="32"/>
          <w:szCs w:val="32"/>
        </w:rPr>
        <w:t xml:space="preserve"> 各行政执法部门实施行政强制，应当遵循合法、适当、教育与强制相结合的原则，对采用非强制性手段能够达到行政管理目的的，不得实施行政强制；对违法行为情节显著轻微或者没有明显社会危害的，可以不实施行政强制；确需实施行政强制的，应当限定在所必需的范围内，尽可能减少对市场主体正常生产经营活动的影响。</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第六十五条</w:t>
      </w:r>
      <w:r w:rsidRPr="00FA69AE">
        <w:rPr>
          <w:rFonts w:ascii="仿宋_GB2312" w:eastAsia="仿宋_GB2312" w:hAnsi="Times New Roman" w:cs="Times New Roman" w:hint="eastAsia"/>
          <w:bCs/>
          <w:color w:val="000000"/>
          <w:sz w:val="32"/>
          <w:szCs w:val="32"/>
        </w:rPr>
        <w:t xml:space="preserve"> 除涉及人民群众生命安全、发生重特大事故或者举办国家重大活动，并报经有权机关批准外，县级以上地方人民政府及其有关部门不得在相关区域采取要求相关行业、领域的市场主体普遍停产停业等措施。</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确需采取普遍停产停业等措施的，应当提前书面通知企业或者向社会公告，法律</w:t>
      </w:r>
      <w:r w:rsidR="00182B7D" w:rsidRPr="00FA69AE">
        <w:rPr>
          <w:rFonts w:ascii="仿宋_GB2312" w:eastAsia="仿宋_GB2312" w:hAnsi="Times New Roman" w:cs="Times New Roman" w:hint="eastAsia"/>
          <w:bCs/>
          <w:color w:val="000000"/>
          <w:sz w:val="32"/>
          <w:szCs w:val="32"/>
        </w:rPr>
        <w:t>、</w:t>
      </w:r>
      <w:r w:rsidRPr="00FA69AE">
        <w:rPr>
          <w:rFonts w:ascii="仿宋_GB2312" w:eastAsia="仿宋_GB2312" w:hAnsi="Times New Roman" w:cs="Times New Roman" w:hint="eastAsia"/>
          <w:bCs/>
          <w:color w:val="000000"/>
          <w:sz w:val="32"/>
          <w:szCs w:val="32"/>
        </w:rPr>
        <w:t>法规另有规定的除外。</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第六十六条</w:t>
      </w:r>
      <w:r w:rsidRPr="00FA69AE">
        <w:rPr>
          <w:rFonts w:ascii="仿宋_GB2312" w:eastAsia="仿宋_GB2312" w:hAnsi="Times New Roman" w:cs="Times New Roman" w:hint="eastAsia"/>
          <w:bCs/>
          <w:color w:val="000000"/>
          <w:sz w:val="32"/>
          <w:szCs w:val="32"/>
        </w:rPr>
        <w:t xml:space="preserve"> 完善知识产权保护体系，加强新业态、新产业创新成果的知识产权保护，建立知识产权保护的举报、投诉、维权、援助平台以及有关案件行政处理的快速通道，完善行政执法与刑事司法衔接机制，依法实施知识产权侵权惩罚性赔偿制度，加强市场主体知识产权的维权援助。</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 xml:space="preserve">第六十七条 </w:t>
      </w:r>
      <w:r w:rsidRPr="00FA69AE">
        <w:rPr>
          <w:rFonts w:ascii="仿宋_GB2312" w:eastAsia="仿宋_GB2312" w:hAnsi="Times New Roman" w:cs="Times New Roman" w:hint="eastAsia"/>
          <w:bCs/>
          <w:color w:val="000000"/>
          <w:sz w:val="32"/>
          <w:szCs w:val="32"/>
        </w:rPr>
        <w:t>加快推进公共法律服务体系建设，构建公共法律服务平台，实现省、市（州）、县（市、区）、乡（镇、街道）、村（社区）全覆盖。整合律师、公证、司法鉴定、仲裁、人民调解、法律咨询、法治宣传、法律援助等法律服务资源，以公</w:t>
      </w:r>
      <w:r w:rsidRPr="00FA69AE">
        <w:rPr>
          <w:rFonts w:ascii="仿宋_GB2312" w:eastAsia="仿宋_GB2312" w:hAnsi="Times New Roman" w:cs="Times New Roman" w:hint="eastAsia"/>
          <w:bCs/>
          <w:color w:val="000000"/>
          <w:sz w:val="32"/>
          <w:szCs w:val="32"/>
        </w:rPr>
        <w:lastRenderedPageBreak/>
        <w:t>共法律服务中心、“12348”热线等公共法律服务平台为载体，提升公共法律服务质量和水平。推进川渝两地法律服务资源共建、共享。</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鼓励通过专业化的法律服务，帮助民营企业、中小企业防范法律风险，及时高效解决各类纠纷。</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 xml:space="preserve">第六十八条 </w:t>
      </w:r>
      <w:r w:rsidRPr="00FA69AE">
        <w:rPr>
          <w:rFonts w:ascii="仿宋_GB2312" w:eastAsia="仿宋_GB2312" w:hAnsi="Times New Roman" w:cs="Times New Roman" w:hint="eastAsia"/>
          <w:bCs/>
          <w:color w:val="000000"/>
          <w:sz w:val="32"/>
          <w:szCs w:val="32"/>
        </w:rPr>
        <w:t>推进矛盾纠纷源头治理，完善调解、仲裁、行政裁决、行政复议、诉讼等有机衔接、相互协调的多元化纠纷解决机制，多元联动源头化解矛盾纠纷；加强程序对接、平台融合、工作联动，支持专业领域建立纠纷解决机制，为市场主体提供高效、便捷的纠纷解决途径。</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第六十九条</w:t>
      </w:r>
      <w:r w:rsidR="007735B8" w:rsidRPr="00FA69AE">
        <w:rPr>
          <w:rFonts w:ascii="仿宋_GB2312" w:eastAsia="仿宋_GB2312" w:hAnsi="Times New Roman" w:cs="Times New Roman" w:hint="eastAsia"/>
          <w:bCs/>
          <w:color w:val="000000"/>
          <w:sz w:val="32"/>
          <w:szCs w:val="32"/>
        </w:rPr>
        <w:t xml:space="preserve"> 建立人民政府与人民法院企业破产工作协调机制，</w:t>
      </w:r>
      <w:r w:rsidR="007735B8" w:rsidRPr="00FA69AE">
        <w:rPr>
          <w:rFonts w:ascii="仿宋_GB2312" w:eastAsia="仿宋_GB2312" w:hAnsi="Times New Roman" w:cs="Times New Roman"/>
          <w:bCs/>
          <w:color w:val="000000"/>
          <w:sz w:val="32"/>
          <w:szCs w:val="32"/>
        </w:rPr>
        <w:t>统筹推进企业破产过程中信息共享、信用修复、财产处置、企业注销、风险防范等事项</w:t>
      </w:r>
      <w:r w:rsidR="007735B8" w:rsidRPr="00FA69AE">
        <w:rPr>
          <w:rFonts w:ascii="仿宋_GB2312" w:eastAsia="仿宋_GB2312" w:hAnsi="Times New Roman" w:cs="Times New Roman" w:hint="eastAsia"/>
          <w:bCs/>
          <w:color w:val="000000"/>
          <w:sz w:val="32"/>
          <w:szCs w:val="32"/>
        </w:rPr>
        <w:t>。建立重整识别、预重整等破产拯救机制，促进困境企业及时获得救</w:t>
      </w:r>
      <w:r w:rsidR="00EA0414" w:rsidRPr="00FA69AE">
        <w:rPr>
          <w:rFonts w:ascii="仿宋_GB2312" w:eastAsia="仿宋_GB2312" w:hAnsi="Times New Roman" w:cs="Times New Roman" w:hint="eastAsia"/>
          <w:bCs/>
          <w:color w:val="000000"/>
          <w:sz w:val="32"/>
          <w:szCs w:val="32"/>
        </w:rPr>
        <w:t>助</w:t>
      </w:r>
      <w:r w:rsidR="007735B8" w:rsidRPr="00FA69AE">
        <w:rPr>
          <w:rFonts w:ascii="仿宋_GB2312" w:eastAsia="仿宋_GB2312" w:hAnsi="Times New Roman" w:cs="Times New Roman" w:hint="eastAsia"/>
          <w:bCs/>
          <w:color w:val="000000"/>
          <w:sz w:val="32"/>
          <w:szCs w:val="32"/>
        </w:rPr>
        <w:t>。</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第七十条</w:t>
      </w:r>
      <w:r w:rsidRPr="00FA69AE">
        <w:rPr>
          <w:rFonts w:ascii="仿宋_GB2312" w:eastAsia="仿宋_GB2312" w:hAnsi="Times New Roman" w:cs="Times New Roman" w:hint="eastAsia"/>
          <w:bCs/>
          <w:color w:val="000000"/>
          <w:sz w:val="32"/>
          <w:szCs w:val="32"/>
        </w:rPr>
        <w:t xml:space="preserve"> 省人民政府有关部门应当按照职责分工加强对司法鉴定、资产评估等专业机构的监督、指导，督促专业机构优化工作流程、压缩工作时限，提高鉴定评估质量。</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 xml:space="preserve">第七十一条 </w:t>
      </w:r>
      <w:r w:rsidRPr="00FA69AE">
        <w:rPr>
          <w:rFonts w:ascii="仿宋_GB2312" w:eastAsia="仿宋_GB2312" w:hAnsi="Times New Roman" w:cs="Times New Roman" w:hint="eastAsia"/>
          <w:bCs/>
          <w:color w:val="000000"/>
          <w:sz w:val="32"/>
          <w:szCs w:val="32"/>
        </w:rPr>
        <w:t>县级以上地方人民政府及其有关部门应当与同级监察委员会、人民法院、人民检察院建立联络沟通机制，对监察委员会、人民法院、人民检察院提出的优化营商环境建议，应当及时处理、回复。</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第七十二条</w:t>
      </w:r>
      <w:r w:rsidRPr="00FA69AE">
        <w:rPr>
          <w:rFonts w:ascii="仿宋_GB2312" w:eastAsia="仿宋_GB2312" w:hAnsi="Times New Roman" w:cs="Times New Roman" w:hint="eastAsia"/>
          <w:bCs/>
          <w:color w:val="000000"/>
          <w:sz w:val="32"/>
          <w:szCs w:val="32"/>
        </w:rPr>
        <w:t xml:space="preserve"> 探索创建适合市场主体的法治宣传新模式，采</w:t>
      </w:r>
      <w:r w:rsidRPr="00FA69AE">
        <w:rPr>
          <w:rFonts w:ascii="仿宋_GB2312" w:eastAsia="仿宋_GB2312" w:hAnsi="Times New Roman" w:cs="Times New Roman" w:hint="eastAsia"/>
          <w:bCs/>
          <w:color w:val="000000"/>
          <w:sz w:val="32"/>
          <w:szCs w:val="32"/>
        </w:rPr>
        <w:lastRenderedPageBreak/>
        <w:t>取以案释法、场景互动等方式提升法治宣传效能。</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遵循“谁执法谁普法”“谁主管谁普法”“谁服务谁普法”的要求，将优化营商环境法治宣传工作纳入普法责任制考核。</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第七十三条</w:t>
      </w:r>
      <w:r w:rsidRPr="00FA69AE">
        <w:rPr>
          <w:rFonts w:ascii="仿宋_GB2312" w:eastAsia="仿宋_GB2312" w:hAnsi="Times New Roman" w:cs="Times New Roman" w:hint="eastAsia"/>
          <w:bCs/>
          <w:color w:val="000000"/>
          <w:sz w:val="32"/>
          <w:szCs w:val="32"/>
        </w:rPr>
        <w:t xml:space="preserve"> 县级以上地方人民代表大会常务委员会通过听取专项工作报告、开展执法检查等方式，加强本行政区域内优化营商环境工作监督。</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县级以上地方人民代表大会常务委员会充分发挥代表作用，组织代表围绕优化营商环境开展专题调研和视察等活动，汇集、反映各类市场主体的意见和建议，督促有关方面落实优化营商环境的各项工作。</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第七十四条</w:t>
      </w:r>
      <w:r w:rsidRPr="00FA69AE">
        <w:rPr>
          <w:rFonts w:ascii="仿宋_GB2312" w:eastAsia="仿宋_GB2312" w:hAnsi="Times New Roman" w:cs="Times New Roman" w:hint="eastAsia"/>
          <w:bCs/>
          <w:color w:val="000000"/>
          <w:sz w:val="32"/>
          <w:szCs w:val="32"/>
        </w:rPr>
        <w:t xml:space="preserve"> </w:t>
      </w:r>
      <w:r w:rsidR="00283C41" w:rsidRPr="00FA69AE">
        <w:rPr>
          <w:rFonts w:ascii="仿宋_GB2312" w:eastAsia="仿宋_GB2312" w:hAnsi="Times New Roman" w:cs="Times New Roman" w:hint="eastAsia"/>
          <w:bCs/>
          <w:color w:val="000000"/>
          <w:sz w:val="32"/>
          <w:szCs w:val="32"/>
        </w:rPr>
        <w:t>县级以上地方人民政府</w:t>
      </w:r>
      <w:r w:rsidRPr="00FA69AE">
        <w:rPr>
          <w:rFonts w:ascii="仿宋_GB2312" w:eastAsia="仿宋_GB2312" w:hAnsi="Times New Roman" w:cs="Times New Roman" w:hint="eastAsia"/>
          <w:bCs/>
          <w:color w:val="000000"/>
          <w:sz w:val="32"/>
          <w:szCs w:val="32"/>
        </w:rPr>
        <w:t>建立优化营商环境监督员制度，邀请企业家、人大代表、政协委员、专家学者等作为监督员，对营商环境进行社会监督。政府及</w:t>
      </w:r>
      <w:r w:rsidR="00D61FCB" w:rsidRPr="00FA69AE">
        <w:rPr>
          <w:rFonts w:ascii="仿宋_GB2312" w:eastAsia="仿宋_GB2312" w:hAnsi="Times New Roman" w:cs="Times New Roman" w:hint="eastAsia"/>
          <w:bCs/>
          <w:color w:val="000000"/>
          <w:sz w:val="32"/>
          <w:szCs w:val="32"/>
        </w:rPr>
        <w:t>其</w:t>
      </w:r>
      <w:r w:rsidRPr="00FA69AE">
        <w:rPr>
          <w:rFonts w:ascii="仿宋_GB2312" w:eastAsia="仿宋_GB2312" w:hAnsi="Times New Roman" w:cs="Times New Roman" w:hint="eastAsia"/>
          <w:bCs/>
          <w:color w:val="000000"/>
          <w:sz w:val="32"/>
          <w:szCs w:val="32"/>
        </w:rPr>
        <w:t>有关部门应当接受监督员的监督，及时整改查实的问题。</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第七十五条</w:t>
      </w:r>
      <w:r w:rsidRPr="00FA69AE">
        <w:rPr>
          <w:rFonts w:ascii="仿宋_GB2312" w:eastAsia="仿宋_GB2312" w:hAnsi="Times New Roman" w:cs="Times New Roman" w:hint="eastAsia"/>
          <w:bCs/>
          <w:color w:val="000000"/>
          <w:sz w:val="32"/>
          <w:szCs w:val="32"/>
        </w:rPr>
        <w:t xml:space="preserve"> 地方各级人民政府及其有关部门违反本条例规定，不履行优化营商环境工作职责或者损害营商环境，有下列情形之一的，由其上级机关责令改正或者通报批评；造成不良后果或者影响的，对负有责任的领导人员和直接责任人员依法给予处分，构成犯罪的依法追究刑事责任：</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（一）拒绝、推诿、拖延履行法定职责的；</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（二）违反规定限制市场主体准入或者退出的；</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（三）违反规定干涉市场主体自主开展生产经营活动的；</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lastRenderedPageBreak/>
        <w:t>（四）违反规定侵害市场主体财产权、其他合法权益的；</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（五）违反规定设置收费项目、提高收费标准、扩大收费范围或者额外收费，向市场主体强制或者变相收取不合理费用的；</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（六）违反规定设定行政审批中介服务事项，强制市场主体接受中介服务，强制指定或者变相指定中介服务机构的；</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（七）实施行政审批、行政检查时，索取或者收受财物、谋取非法利益的；</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（八）对市场主体作出违背有关法律</w:t>
      </w:r>
      <w:r w:rsidR="00182B7D" w:rsidRPr="00FA69AE">
        <w:rPr>
          <w:rFonts w:ascii="仿宋_GB2312" w:eastAsia="仿宋_GB2312" w:hAnsi="Times New Roman" w:cs="Times New Roman" w:hint="eastAsia"/>
          <w:bCs/>
          <w:color w:val="000000"/>
          <w:sz w:val="32"/>
          <w:szCs w:val="32"/>
        </w:rPr>
        <w:t>、</w:t>
      </w:r>
      <w:r w:rsidRPr="00FA69AE">
        <w:rPr>
          <w:rFonts w:ascii="仿宋_GB2312" w:eastAsia="仿宋_GB2312" w:hAnsi="Times New Roman" w:cs="Times New Roman" w:hint="eastAsia"/>
          <w:bCs/>
          <w:color w:val="000000"/>
          <w:sz w:val="32"/>
          <w:szCs w:val="32"/>
        </w:rPr>
        <w:t>法规或者超出自身法定权限的政策承诺，或者未经法定程序改变承诺事项的；</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（九）不履行、不完全履行或者单方面强制要求以特定方式履行与市场主体签订的有关合同、协议的；</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（十）未按照规定及时处理投诉、举报事项，违规泄露投诉人、举报人信息，以及对投诉人、举报人打击报复的；</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仿宋_GB2312" w:eastAsia="仿宋_GB2312" w:hAnsi="Times New Roman" w:cs="Times New Roman" w:hint="eastAsia"/>
          <w:bCs/>
          <w:color w:val="000000"/>
          <w:sz w:val="32"/>
          <w:szCs w:val="32"/>
        </w:rPr>
        <w:t>（十一）其他不履行优化营商环境工作职责或者损害营商环境的。</w:t>
      </w:r>
    </w:p>
    <w:p w:rsidR="00FA715B"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 xml:space="preserve">第七十六条 </w:t>
      </w:r>
      <w:r w:rsidRPr="00FA69AE">
        <w:rPr>
          <w:rFonts w:ascii="仿宋_GB2312" w:eastAsia="仿宋_GB2312" w:hAnsi="Times New Roman" w:cs="Times New Roman" w:hint="eastAsia"/>
          <w:bCs/>
          <w:color w:val="000000"/>
          <w:sz w:val="32"/>
          <w:szCs w:val="32"/>
        </w:rPr>
        <w:t>公用企事业单位、中介服务机构、行业协会商会违反本条例相关规定，损害营商环境的，由有关部门责令改正，依法追究法律责任。</w:t>
      </w:r>
    </w:p>
    <w:p w:rsidR="00FA715B" w:rsidRPr="00FA69AE" w:rsidRDefault="00FA715B" w:rsidP="00FA69AE">
      <w:pPr>
        <w:overflowPunct w:val="0"/>
        <w:adjustRightInd w:val="0"/>
        <w:snapToGrid w:val="0"/>
        <w:spacing w:line="576" w:lineRule="exact"/>
        <w:ind w:firstLineChars="200" w:firstLine="643"/>
        <w:rPr>
          <w:rFonts w:ascii="Times New Roman" w:eastAsia="方正仿宋简体" w:hAnsi="Times New Roman" w:cs="Times New Roman"/>
          <w:b/>
          <w:sz w:val="32"/>
          <w:szCs w:val="32"/>
        </w:rPr>
      </w:pPr>
    </w:p>
    <w:p w:rsidR="00FA715B" w:rsidRDefault="00FA715B" w:rsidP="00FA69AE">
      <w:pPr>
        <w:topLinePunct/>
        <w:spacing w:line="576" w:lineRule="exact"/>
        <w:jc w:val="center"/>
        <w:outlineLvl w:val="0"/>
        <w:rPr>
          <w:rFonts w:ascii="Times New Roman" w:eastAsia="黑体" w:hAnsi="Times New Roman" w:cs="Times New Roman" w:hint="eastAsia"/>
          <w:bCs/>
          <w:sz w:val="32"/>
          <w:szCs w:val="32"/>
        </w:rPr>
      </w:pPr>
      <w:r w:rsidRPr="00FA69AE">
        <w:rPr>
          <w:rFonts w:ascii="Times New Roman" w:eastAsia="黑体" w:hAnsi="Times New Roman" w:cs="Times New Roman" w:hint="eastAsia"/>
          <w:bCs/>
          <w:sz w:val="32"/>
          <w:szCs w:val="32"/>
        </w:rPr>
        <w:t>第五章</w:t>
      </w:r>
      <w:r w:rsidRPr="00FA69AE">
        <w:rPr>
          <w:rFonts w:ascii="Times New Roman" w:eastAsia="黑体" w:hAnsi="Times New Roman" w:cs="Times New Roman" w:hint="eastAsia"/>
          <w:bCs/>
          <w:sz w:val="32"/>
          <w:szCs w:val="32"/>
        </w:rPr>
        <w:t xml:space="preserve">  </w:t>
      </w:r>
      <w:r w:rsidRPr="00FA69AE">
        <w:rPr>
          <w:rFonts w:ascii="Times New Roman" w:eastAsia="黑体" w:hAnsi="Times New Roman" w:cs="Times New Roman" w:hint="eastAsia"/>
          <w:bCs/>
          <w:sz w:val="32"/>
          <w:szCs w:val="32"/>
        </w:rPr>
        <w:t>附</w:t>
      </w:r>
      <w:r w:rsidRPr="00FA69AE">
        <w:rPr>
          <w:rFonts w:ascii="Times New Roman" w:eastAsia="黑体" w:hAnsi="Times New Roman" w:cs="Times New Roman" w:hint="eastAsia"/>
          <w:bCs/>
          <w:sz w:val="32"/>
          <w:szCs w:val="32"/>
        </w:rPr>
        <w:t xml:space="preserve">  </w:t>
      </w:r>
      <w:r w:rsidRPr="00FA69AE">
        <w:rPr>
          <w:rFonts w:ascii="Times New Roman" w:eastAsia="黑体" w:hAnsi="Times New Roman" w:cs="Times New Roman" w:hint="eastAsia"/>
          <w:bCs/>
          <w:sz w:val="32"/>
          <w:szCs w:val="32"/>
        </w:rPr>
        <w:t>则</w:t>
      </w:r>
    </w:p>
    <w:p w:rsidR="00FA69AE" w:rsidRPr="00FA69AE" w:rsidRDefault="00FA69AE" w:rsidP="00FA69AE">
      <w:pPr>
        <w:topLinePunct/>
        <w:spacing w:line="576" w:lineRule="exact"/>
        <w:jc w:val="center"/>
        <w:outlineLvl w:val="0"/>
        <w:rPr>
          <w:rFonts w:ascii="Times New Roman" w:eastAsia="黑体" w:hAnsi="Times New Roman" w:cs="Times New Roman"/>
          <w:bCs/>
          <w:sz w:val="32"/>
          <w:szCs w:val="32"/>
        </w:rPr>
      </w:pPr>
    </w:p>
    <w:p w:rsidR="00D02855" w:rsidRPr="00FA69AE" w:rsidRDefault="00FA715B" w:rsidP="00FA69AE">
      <w:pPr>
        <w:topLinePunct/>
        <w:adjustRightInd w:val="0"/>
        <w:snapToGrid w:val="0"/>
        <w:spacing w:line="576" w:lineRule="exact"/>
        <w:ind w:firstLineChars="200" w:firstLine="640"/>
        <w:rPr>
          <w:rFonts w:ascii="仿宋_GB2312" w:eastAsia="仿宋_GB2312" w:hAnsi="Times New Roman" w:cs="Times New Roman"/>
          <w:bCs/>
          <w:color w:val="000000"/>
          <w:sz w:val="32"/>
          <w:szCs w:val="32"/>
        </w:rPr>
      </w:pPr>
      <w:r w:rsidRPr="00FA69AE">
        <w:rPr>
          <w:rFonts w:ascii="黑体" w:eastAsia="黑体" w:hAnsi="黑体" w:cs="Times New Roman" w:hint="eastAsia"/>
          <w:bCs/>
          <w:color w:val="000000"/>
          <w:sz w:val="32"/>
          <w:szCs w:val="32"/>
        </w:rPr>
        <w:t>第七十七条</w:t>
      </w:r>
      <w:r w:rsidR="00FA69AE">
        <w:rPr>
          <w:rFonts w:ascii="黑体" w:eastAsia="黑体" w:hAnsi="黑体" w:cs="Times New Roman" w:hint="eastAsia"/>
          <w:bCs/>
          <w:color w:val="000000"/>
          <w:sz w:val="32"/>
          <w:szCs w:val="32"/>
        </w:rPr>
        <w:t xml:space="preserve">  </w:t>
      </w:r>
      <w:r w:rsidRPr="00FA69AE">
        <w:rPr>
          <w:rFonts w:ascii="仿宋_GB2312" w:eastAsia="仿宋_GB2312" w:hAnsi="Times New Roman" w:cs="Times New Roman" w:hint="eastAsia"/>
          <w:bCs/>
          <w:color w:val="000000"/>
          <w:sz w:val="32"/>
          <w:szCs w:val="32"/>
        </w:rPr>
        <w:t>本条例自</w:t>
      </w:r>
      <w:r w:rsidR="00491D7A" w:rsidRPr="00FA69AE">
        <w:rPr>
          <w:rFonts w:ascii="仿宋_GB2312" w:eastAsia="仿宋_GB2312" w:hAnsi="Times New Roman" w:cs="Times New Roman" w:hint="eastAsia"/>
          <w:bCs/>
          <w:color w:val="000000"/>
          <w:sz w:val="32"/>
          <w:szCs w:val="32"/>
        </w:rPr>
        <w:t>2021</w:t>
      </w:r>
      <w:r w:rsidRPr="00FA69AE">
        <w:rPr>
          <w:rFonts w:ascii="仿宋_GB2312" w:eastAsia="仿宋_GB2312" w:hAnsi="Times New Roman" w:cs="Times New Roman" w:hint="eastAsia"/>
          <w:bCs/>
          <w:color w:val="000000"/>
          <w:sz w:val="32"/>
          <w:szCs w:val="32"/>
        </w:rPr>
        <w:t>年</w:t>
      </w:r>
      <w:r w:rsidR="00491D7A" w:rsidRPr="00FA69AE">
        <w:rPr>
          <w:rFonts w:ascii="仿宋_GB2312" w:eastAsia="仿宋_GB2312" w:hAnsi="Times New Roman" w:cs="Times New Roman" w:hint="eastAsia"/>
          <w:bCs/>
          <w:color w:val="000000"/>
          <w:sz w:val="32"/>
          <w:szCs w:val="32"/>
        </w:rPr>
        <w:t>7</w:t>
      </w:r>
      <w:r w:rsidRPr="00FA69AE">
        <w:rPr>
          <w:rFonts w:ascii="仿宋_GB2312" w:eastAsia="仿宋_GB2312" w:hAnsi="Times New Roman" w:cs="Times New Roman" w:hint="eastAsia"/>
          <w:bCs/>
          <w:color w:val="000000"/>
          <w:sz w:val="32"/>
          <w:szCs w:val="32"/>
        </w:rPr>
        <w:t>月</w:t>
      </w:r>
      <w:r w:rsidR="00491D7A" w:rsidRPr="00FA69AE">
        <w:rPr>
          <w:rFonts w:ascii="仿宋_GB2312" w:eastAsia="仿宋_GB2312" w:hAnsi="Times New Roman" w:cs="Times New Roman" w:hint="eastAsia"/>
          <w:bCs/>
          <w:color w:val="000000"/>
          <w:sz w:val="32"/>
          <w:szCs w:val="32"/>
        </w:rPr>
        <w:t>1</w:t>
      </w:r>
      <w:r w:rsidRPr="00FA69AE">
        <w:rPr>
          <w:rFonts w:ascii="仿宋_GB2312" w:eastAsia="仿宋_GB2312" w:hAnsi="Times New Roman" w:cs="Times New Roman" w:hint="eastAsia"/>
          <w:bCs/>
          <w:color w:val="000000"/>
          <w:sz w:val="32"/>
          <w:szCs w:val="32"/>
        </w:rPr>
        <w:t>日起施行。</w:t>
      </w:r>
    </w:p>
    <w:sectPr w:rsidR="00D02855" w:rsidRPr="00FA69AE" w:rsidSect="00FA69AE">
      <w:footerReference w:type="even" r:id="rId7"/>
      <w:footerReference w:type="default" r:id="rId8"/>
      <w:pgSz w:w="11906" w:h="16838" w:code="9"/>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502" w:rsidRDefault="00ED2502" w:rsidP="000D2D69">
      <w:r>
        <w:separator/>
      </w:r>
    </w:p>
  </w:endnote>
  <w:endnote w:type="continuationSeparator" w:id="0">
    <w:p w:rsidR="00ED2502" w:rsidRDefault="00ED2502" w:rsidP="000D2D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panose1 w:val="03000509000000000000"/>
    <w:charset w:val="86"/>
    <w:family w:val="script"/>
    <w:pitch w:val="fixed"/>
    <w:sig w:usb0="00000001" w:usb1="080E0000" w:usb2="00000010" w:usb3="00000000" w:csb0="00040000" w:csb1="00000000"/>
  </w:font>
  <w:font w:name="黑体">
    <w:altName w:val="SimHei"/>
    <w:panose1 w:val="0201060003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493" w:rsidRPr="00FA69AE" w:rsidRDefault="00146493" w:rsidP="00FA69AE">
    <w:pPr>
      <w:pStyle w:val="a4"/>
      <w:ind w:firstLineChars="100" w:firstLine="280"/>
      <w:rPr>
        <w:rFonts w:asciiTheme="minorEastAsia" w:hAnsiTheme="minorEastAsia" w:cs="Times New Roman"/>
        <w:sz w:val="28"/>
        <w:szCs w:val="28"/>
      </w:rPr>
    </w:pPr>
    <w:r w:rsidRPr="00FA69AE">
      <w:rPr>
        <w:rFonts w:asciiTheme="minorEastAsia" w:hAnsiTheme="minorEastAsia" w:cs="Times New Roman"/>
        <w:sz w:val="28"/>
        <w:szCs w:val="28"/>
      </w:rPr>
      <w:t xml:space="preserve">— </w:t>
    </w:r>
    <w:sdt>
      <w:sdtPr>
        <w:rPr>
          <w:rFonts w:asciiTheme="minorEastAsia" w:hAnsiTheme="minorEastAsia" w:cs="Times New Roman"/>
          <w:sz w:val="28"/>
          <w:szCs w:val="28"/>
        </w:rPr>
        <w:id w:val="-958714897"/>
        <w:docPartObj>
          <w:docPartGallery w:val="Page Numbers (Bottom of Page)"/>
          <w:docPartUnique/>
        </w:docPartObj>
      </w:sdtPr>
      <w:sdtEndPr/>
      <w:sdtContent>
        <w:r w:rsidRPr="00FA69AE">
          <w:rPr>
            <w:rFonts w:asciiTheme="minorEastAsia" w:hAnsiTheme="minorEastAsia" w:cs="Times New Roman"/>
            <w:sz w:val="28"/>
            <w:szCs w:val="28"/>
          </w:rPr>
          <w:fldChar w:fldCharType="begin"/>
        </w:r>
        <w:r w:rsidRPr="00FA69AE">
          <w:rPr>
            <w:rFonts w:asciiTheme="minorEastAsia" w:hAnsiTheme="minorEastAsia" w:cs="Times New Roman"/>
            <w:sz w:val="28"/>
            <w:szCs w:val="28"/>
          </w:rPr>
          <w:instrText>PAGE   \* MERGEFORMAT</w:instrText>
        </w:r>
        <w:r w:rsidRPr="00FA69AE">
          <w:rPr>
            <w:rFonts w:asciiTheme="minorEastAsia" w:hAnsiTheme="minorEastAsia" w:cs="Times New Roman"/>
            <w:sz w:val="28"/>
            <w:szCs w:val="28"/>
          </w:rPr>
          <w:fldChar w:fldCharType="separate"/>
        </w:r>
        <w:r w:rsidR="00FA69AE" w:rsidRPr="00FA69AE">
          <w:rPr>
            <w:rFonts w:asciiTheme="minorEastAsia" w:hAnsiTheme="minorEastAsia" w:cs="Times New Roman"/>
            <w:noProof/>
            <w:sz w:val="28"/>
            <w:szCs w:val="28"/>
            <w:lang w:val="zh-CN"/>
          </w:rPr>
          <w:t>2</w:t>
        </w:r>
        <w:r w:rsidRPr="00FA69AE">
          <w:rPr>
            <w:rFonts w:asciiTheme="minorEastAsia" w:hAnsiTheme="minorEastAsia" w:cs="Times New Roman"/>
            <w:sz w:val="28"/>
            <w:szCs w:val="28"/>
          </w:rPr>
          <w:fldChar w:fldCharType="end"/>
        </w:r>
        <w:r w:rsidRPr="00FA69AE">
          <w:rPr>
            <w:rFonts w:asciiTheme="minorEastAsia" w:hAnsiTheme="minorEastAsia" w:cs="Times New Roman"/>
            <w:sz w:val="28"/>
            <w:szCs w:val="28"/>
          </w:rPr>
          <w:t xml:space="preserve"> —</w:t>
        </w:r>
      </w:sdtContent>
    </w:sdt>
  </w:p>
  <w:p w:rsidR="00146493" w:rsidRPr="00146493" w:rsidRDefault="00146493">
    <w:pPr>
      <w:pStyle w:val="a4"/>
      <w:rPr>
        <w:rFonts w:ascii="Times New Roman" w:hAnsi="Times New Roman" w:cs="Times New Roman"/>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493" w:rsidRPr="00FA69AE" w:rsidRDefault="00146493" w:rsidP="00FA69AE">
    <w:pPr>
      <w:pStyle w:val="a4"/>
      <w:wordWrap w:val="0"/>
      <w:jc w:val="right"/>
      <w:rPr>
        <w:rFonts w:asciiTheme="minorEastAsia" w:hAnsiTheme="minorEastAsia" w:cs="Times New Roman"/>
        <w:sz w:val="28"/>
        <w:szCs w:val="28"/>
      </w:rPr>
    </w:pPr>
    <w:r w:rsidRPr="00FA69AE">
      <w:rPr>
        <w:rFonts w:asciiTheme="minorEastAsia" w:hAnsiTheme="minorEastAsia" w:cs="Times New Roman"/>
        <w:sz w:val="28"/>
        <w:szCs w:val="28"/>
      </w:rPr>
      <w:t xml:space="preserve">— </w:t>
    </w:r>
    <w:sdt>
      <w:sdtPr>
        <w:rPr>
          <w:rFonts w:asciiTheme="minorEastAsia" w:hAnsiTheme="minorEastAsia" w:cs="Times New Roman"/>
          <w:sz w:val="28"/>
          <w:szCs w:val="28"/>
        </w:rPr>
        <w:id w:val="1459139558"/>
        <w:docPartObj>
          <w:docPartGallery w:val="Page Numbers (Bottom of Page)"/>
          <w:docPartUnique/>
        </w:docPartObj>
      </w:sdtPr>
      <w:sdtEndPr/>
      <w:sdtContent>
        <w:r w:rsidRPr="00FA69AE">
          <w:rPr>
            <w:rFonts w:asciiTheme="minorEastAsia" w:hAnsiTheme="minorEastAsia" w:cs="Times New Roman"/>
            <w:sz w:val="28"/>
            <w:szCs w:val="28"/>
          </w:rPr>
          <w:fldChar w:fldCharType="begin"/>
        </w:r>
        <w:r w:rsidRPr="00FA69AE">
          <w:rPr>
            <w:rFonts w:asciiTheme="minorEastAsia" w:hAnsiTheme="minorEastAsia" w:cs="Times New Roman"/>
            <w:sz w:val="28"/>
            <w:szCs w:val="28"/>
          </w:rPr>
          <w:instrText>PAGE   \* MERGEFORMAT</w:instrText>
        </w:r>
        <w:r w:rsidRPr="00FA69AE">
          <w:rPr>
            <w:rFonts w:asciiTheme="minorEastAsia" w:hAnsiTheme="minorEastAsia" w:cs="Times New Roman"/>
            <w:sz w:val="28"/>
            <w:szCs w:val="28"/>
          </w:rPr>
          <w:fldChar w:fldCharType="separate"/>
        </w:r>
        <w:r w:rsidR="00FA69AE" w:rsidRPr="00FA69AE">
          <w:rPr>
            <w:rFonts w:asciiTheme="minorEastAsia" w:hAnsiTheme="minorEastAsia" w:cs="Times New Roman"/>
            <w:noProof/>
            <w:sz w:val="28"/>
            <w:szCs w:val="28"/>
            <w:lang w:val="zh-CN"/>
          </w:rPr>
          <w:t>1</w:t>
        </w:r>
        <w:r w:rsidRPr="00FA69AE">
          <w:rPr>
            <w:rFonts w:asciiTheme="minorEastAsia" w:hAnsiTheme="minorEastAsia" w:cs="Times New Roman"/>
            <w:sz w:val="28"/>
            <w:szCs w:val="28"/>
          </w:rPr>
          <w:fldChar w:fldCharType="end"/>
        </w:r>
        <w:r w:rsidRPr="00FA69AE">
          <w:rPr>
            <w:rFonts w:asciiTheme="minorEastAsia" w:hAnsiTheme="minorEastAsia" w:cs="Times New Roman"/>
            <w:sz w:val="28"/>
            <w:szCs w:val="28"/>
          </w:rPr>
          <w:t xml:space="preserve"> —</w:t>
        </w:r>
        <w:r w:rsidR="00FA69AE">
          <w:rPr>
            <w:rFonts w:asciiTheme="minorEastAsia" w:hAnsiTheme="minorEastAsia" w:cs="Times New Roman" w:hint="eastAsia"/>
            <w:sz w:val="28"/>
            <w:szCs w:val="28"/>
          </w:rPr>
          <w:t xml:space="preserve">  </w:t>
        </w:r>
      </w:sdtContent>
    </w:sdt>
  </w:p>
  <w:p w:rsidR="00146493" w:rsidRPr="00146493" w:rsidRDefault="00146493">
    <w:pPr>
      <w:pStyle w:val="a4"/>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502" w:rsidRDefault="00ED2502" w:rsidP="000D2D69">
      <w:r>
        <w:separator/>
      </w:r>
    </w:p>
  </w:footnote>
  <w:footnote w:type="continuationSeparator" w:id="0">
    <w:p w:rsidR="00ED2502" w:rsidRDefault="00ED2502" w:rsidP="000D2D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206"/>
    <w:rsid w:val="00035ADC"/>
    <w:rsid w:val="00057974"/>
    <w:rsid w:val="00062BF9"/>
    <w:rsid w:val="00073011"/>
    <w:rsid w:val="000A21EF"/>
    <w:rsid w:val="000A3CA4"/>
    <w:rsid w:val="000D2D69"/>
    <w:rsid w:val="000F07C0"/>
    <w:rsid w:val="000F754F"/>
    <w:rsid w:val="00146493"/>
    <w:rsid w:val="00182B7D"/>
    <w:rsid w:val="00194F37"/>
    <w:rsid w:val="001A73B3"/>
    <w:rsid w:val="001E46FA"/>
    <w:rsid w:val="001F6065"/>
    <w:rsid w:val="002072A9"/>
    <w:rsid w:val="00214546"/>
    <w:rsid w:val="002461F3"/>
    <w:rsid w:val="00254FF9"/>
    <w:rsid w:val="0026523F"/>
    <w:rsid w:val="00283C41"/>
    <w:rsid w:val="00296520"/>
    <w:rsid w:val="002971A0"/>
    <w:rsid w:val="002A6124"/>
    <w:rsid w:val="002B08C0"/>
    <w:rsid w:val="002C1849"/>
    <w:rsid w:val="002E7AF9"/>
    <w:rsid w:val="0032214F"/>
    <w:rsid w:val="00325152"/>
    <w:rsid w:val="00353713"/>
    <w:rsid w:val="00391745"/>
    <w:rsid w:val="003C177C"/>
    <w:rsid w:val="00407488"/>
    <w:rsid w:val="00407C97"/>
    <w:rsid w:val="00440465"/>
    <w:rsid w:val="00447999"/>
    <w:rsid w:val="00450CDF"/>
    <w:rsid w:val="00452519"/>
    <w:rsid w:val="0045711E"/>
    <w:rsid w:val="004909D6"/>
    <w:rsid w:val="00491D7A"/>
    <w:rsid w:val="004C7771"/>
    <w:rsid w:val="004D6ABA"/>
    <w:rsid w:val="0050704A"/>
    <w:rsid w:val="00513F13"/>
    <w:rsid w:val="00572CDE"/>
    <w:rsid w:val="00574C72"/>
    <w:rsid w:val="005863C6"/>
    <w:rsid w:val="005A2A85"/>
    <w:rsid w:val="005B596E"/>
    <w:rsid w:val="005C26A8"/>
    <w:rsid w:val="005D26A6"/>
    <w:rsid w:val="005E3E6D"/>
    <w:rsid w:val="00602167"/>
    <w:rsid w:val="0063714C"/>
    <w:rsid w:val="0067170D"/>
    <w:rsid w:val="00677E20"/>
    <w:rsid w:val="006B0DD8"/>
    <w:rsid w:val="006B3F51"/>
    <w:rsid w:val="006E1C82"/>
    <w:rsid w:val="006E3A97"/>
    <w:rsid w:val="006F0FBC"/>
    <w:rsid w:val="0072600A"/>
    <w:rsid w:val="00763AB8"/>
    <w:rsid w:val="007735B8"/>
    <w:rsid w:val="007B5FC6"/>
    <w:rsid w:val="008042B2"/>
    <w:rsid w:val="00835AC7"/>
    <w:rsid w:val="00836EE3"/>
    <w:rsid w:val="008B413D"/>
    <w:rsid w:val="008C6D22"/>
    <w:rsid w:val="008F236F"/>
    <w:rsid w:val="00916472"/>
    <w:rsid w:val="00943177"/>
    <w:rsid w:val="00943856"/>
    <w:rsid w:val="00965A32"/>
    <w:rsid w:val="00981E4B"/>
    <w:rsid w:val="00982C0A"/>
    <w:rsid w:val="00983FAE"/>
    <w:rsid w:val="009C3D27"/>
    <w:rsid w:val="009D18BA"/>
    <w:rsid w:val="009D2E37"/>
    <w:rsid w:val="00A253CD"/>
    <w:rsid w:val="00AB54B4"/>
    <w:rsid w:val="00AD619E"/>
    <w:rsid w:val="00AE2657"/>
    <w:rsid w:val="00AE76A5"/>
    <w:rsid w:val="00B03C67"/>
    <w:rsid w:val="00B057BF"/>
    <w:rsid w:val="00B1101F"/>
    <w:rsid w:val="00B1186C"/>
    <w:rsid w:val="00B35BDD"/>
    <w:rsid w:val="00B4672E"/>
    <w:rsid w:val="00B901A1"/>
    <w:rsid w:val="00B94733"/>
    <w:rsid w:val="00B9578E"/>
    <w:rsid w:val="00BA697B"/>
    <w:rsid w:val="00BB0BFE"/>
    <w:rsid w:val="00C23546"/>
    <w:rsid w:val="00C4038E"/>
    <w:rsid w:val="00C71214"/>
    <w:rsid w:val="00C93DFA"/>
    <w:rsid w:val="00CA0BD2"/>
    <w:rsid w:val="00CD0FE7"/>
    <w:rsid w:val="00CE07B5"/>
    <w:rsid w:val="00D02855"/>
    <w:rsid w:val="00D27E95"/>
    <w:rsid w:val="00D61FCB"/>
    <w:rsid w:val="00D92F8B"/>
    <w:rsid w:val="00D9330E"/>
    <w:rsid w:val="00D95849"/>
    <w:rsid w:val="00DA1987"/>
    <w:rsid w:val="00DC3CA0"/>
    <w:rsid w:val="00DD2584"/>
    <w:rsid w:val="00DD6CF5"/>
    <w:rsid w:val="00DF7E47"/>
    <w:rsid w:val="00E0320D"/>
    <w:rsid w:val="00E059AF"/>
    <w:rsid w:val="00E07CFF"/>
    <w:rsid w:val="00E10138"/>
    <w:rsid w:val="00E105D6"/>
    <w:rsid w:val="00E2784C"/>
    <w:rsid w:val="00E36F51"/>
    <w:rsid w:val="00E52BC4"/>
    <w:rsid w:val="00E63141"/>
    <w:rsid w:val="00E63206"/>
    <w:rsid w:val="00E94F93"/>
    <w:rsid w:val="00EA0414"/>
    <w:rsid w:val="00EA3104"/>
    <w:rsid w:val="00EA73F2"/>
    <w:rsid w:val="00EC70E9"/>
    <w:rsid w:val="00ED2502"/>
    <w:rsid w:val="00EE1B08"/>
    <w:rsid w:val="00F32D62"/>
    <w:rsid w:val="00F53CE6"/>
    <w:rsid w:val="00FA69AE"/>
    <w:rsid w:val="00FA715B"/>
    <w:rsid w:val="00FB75C4"/>
    <w:rsid w:val="00FC1D7A"/>
    <w:rsid w:val="00FC6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2D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2D69"/>
    <w:rPr>
      <w:sz w:val="18"/>
      <w:szCs w:val="18"/>
    </w:rPr>
  </w:style>
  <w:style w:type="paragraph" w:styleId="a4">
    <w:name w:val="footer"/>
    <w:basedOn w:val="a"/>
    <w:link w:val="Char0"/>
    <w:uiPriority w:val="99"/>
    <w:unhideWhenUsed/>
    <w:rsid w:val="000D2D69"/>
    <w:pPr>
      <w:tabs>
        <w:tab w:val="center" w:pos="4153"/>
        <w:tab w:val="right" w:pos="8306"/>
      </w:tabs>
      <w:snapToGrid w:val="0"/>
      <w:jc w:val="left"/>
    </w:pPr>
    <w:rPr>
      <w:sz w:val="18"/>
      <w:szCs w:val="18"/>
    </w:rPr>
  </w:style>
  <w:style w:type="character" w:customStyle="1" w:styleId="Char0">
    <w:name w:val="页脚 Char"/>
    <w:basedOn w:val="a0"/>
    <w:link w:val="a4"/>
    <w:uiPriority w:val="99"/>
    <w:rsid w:val="000D2D69"/>
    <w:rPr>
      <w:sz w:val="18"/>
      <w:szCs w:val="18"/>
    </w:rPr>
  </w:style>
  <w:style w:type="paragraph" w:styleId="a5">
    <w:name w:val="Balloon Text"/>
    <w:basedOn w:val="a"/>
    <w:link w:val="Char1"/>
    <w:uiPriority w:val="99"/>
    <w:semiHidden/>
    <w:unhideWhenUsed/>
    <w:rsid w:val="000D2D69"/>
    <w:rPr>
      <w:sz w:val="18"/>
      <w:szCs w:val="18"/>
    </w:rPr>
  </w:style>
  <w:style w:type="character" w:customStyle="1" w:styleId="Char1">
    <w:name w:val="批注框文本 Char"/>
    <w:basedOn w:val="a0"/>
    <w:link w:val="a5"/>
    <w:uiPriority w:val="99"/>
    <w:semiHidden/>
    <w:rsid w:val="000D2D69"/>
    <w:rPr>
      <w:sz w:val="18"/>
      <w:szCs w:val="18"/>
    </w:rPr>
  </w:style>
  <w:style w:type="paragraph" w:styleId="a6">
    <w:name w:val="Normal (Web)"/>
    <w:basedOn w:val="a"/>
    <w:uiPriority w:val="99"/>
    <w:unhideWhenUsed/>
    <w:rsid w:val="00D02855"/>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D2D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D2D69"/>
    <w:rPr>
      <w:sz w:val="18"/>
      <w:szCs w:val="18"/>
    </w:rPr>
  </w:style>
  <w:style w:type="paragraph" w:styleId="a4">
    <w:name w:val="footer"/>
    <w:basedOn w:val="a"/>
    <w:link w:val="Char0"/>
    <w:uiPriority w:val="99"/>
    <w:unhideWhenUsed/>
    <w:rsid w:val="000D2D69"/>
    <w:pPr>
      <w:tabs>
        <w:tab w:val="center" w:pos="4153"/>
        <w:tab w:val="right" w:pos="8306"/>
      </w:tabs>
      <w:snapToGrid w:val="0"/>
      <w:jc w:val="left"/>
    </w:pPr>
    <w:rPr>
      <w:sz w:val="18"/>
      <w:szCs w:val="18"/>
    </w:rPr>
  </w:style>
  <w:style w:type="character" w:customStyle="1" w:styleId="Char0">
    <w:name w:val="页脚 Char"/>
    <w:basedOn w:val="a0"/>
    <w:link w:val="a4"/>
    <w:uiPriority w:val="99"/>
    <w:rsid w:val="000D2D69"/>
    <w:rPr>
      <w:sz w:val="18"/>
      <w:szCs w:val="18"/>
    </w:rPr>
  </w:style>
  <w:style w:type="paragraph" w:styleId="a5">
    <w:name w:val="Balloon Text"/>
    <w:basedOn w:val="a"/>
    <w:link w:val="Char1"/>
    <w:uiPriority w:val="99"/>
    <w:semiHidden/>
    <w:unhideWhenUsed/>
    <w:rsid w:val="000D2D69"/>
    <w:rPr>
      <w:sz w:val="18"/>
      <w:szCs w:val="18"/>
    </w:rPr>
  </w:style>
  <w:style w:type="character" w:customStyle="1" w:styleId="Char1">
    <w:name w:val="批注框文本 Char"/>
    <w:basedOn w:val="a0"/>
    <w:link w:val="a5"/>
    <w:uiPriority w:val="99"/>
    <w:semiHidden/>
    <w:rsid w:val="000D2D69"/>
    <w:rPr>
      <w:sz w:val="18"/>
      <w:szCs w:val="18"/>
    </w:rPr>
  </w:style>
  <w:style w:type="paragraph" w:styleId="a6">
    <w:name w:val="Normal (Web)"/>
    <w:basedOn w:val="a"/>
    <w:uiPriority w:val="99"/>
    <w:unhideWhenUsed/>
    <w:rsid w:val="00D0285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8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25</Pages>
  <Words>1857</Words>
  <Characters>10585</Characters>
  <Application>Microsoft Office Word</Application>
  <DocSecurity>0</DocSecurity>
  <Lines>88</Lines>
  <Paragraphs>24</Paragraphs>
  <ScaleCrop>false</ScaleCrop>
  <Company>Lenovo</Company>
  <LinksUpToDate>false</LinksUpToDate>
  <CharactersWithSpaces>12418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16</cp:revision>
  <cp:lastPrinted>2021-03-26T04:20:00Z</cp:lastPrinted>
  <dcterms:created xsi:type="dcterms:W3CDTF">2021-03-26T04:19:00Z</dcterms:created>
  <dcterms:modified xsi:type="dcterms:W3CDTF">2021-04-14T07:59:00Z</dcterms:modified>
</cp:coreProperties>
</file>