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80" w:lineRule="exact"/>
        <w:jc w:val="center"/>
        <w:rPr>
          <w:rFonts w:hint="eastAsia" w:ascii="Times New Roman" w:hAnsiTheme="majorEastAsia" w:eastAsiaTheme="majorEastAsia"/>
          <w:bCs/>
          <w:kern w:val="0"/>
          <w:sz w:val="44"/>
          <w:szCs w:val="44"/>
        </w:rPr>
      </w:pPr>
    </w:p>
    <w:p>
      <w:pPr>
        <w:adjustRightInd w:val="0"/>
        <w:snapToGrid w:val="0"/>
        <w:spacing w:line="580" w:lineRule="exact"/>
        <w:jc w:val="center"/>
        <w:rPr>
          <w:rFonts w:hint="eastAsia" w:ascii="Times New Roman" w:hAnsiTheme="majorEastAsia" w:eastAsiaTheme="majorEastAsia"/>
          <w:bCs/>
          <w:kern w:val="0"/>
          <w:sz w:val="44"/>
          <w:szCs w:val="44"/>
        </w:rPr>
      </w:pPr>
    </w:p>
    <w:p>
      <w:pPr>
        <w:adjustRightInd w:val="0"/>
        <w:snapToGrid w:val="0"/>
        <w:spacing w:line="580" w:lineRule="exact"/>
        <w:jc w:val="center"/>
        <w:rPr>
          <w:rFonts w:ascii="Times New Roman" w:hAnsiTheme="majorEastAsia" w:eastAsiaTheme="majorEastAsia"/>
          <w:bCs/>
          <w:kern w:val="0"/>
          <w:sz w:val="44"/>
          <w:szCs w:val="44"/>
        </w:rPr>
      </w:pPr>
      <w:r>
        <w:rPr>
          <w:rFonts w:hint="eastAsia" w:ascii="Times New Roman" w:hAnsiTheme="majorEastAsia" w:eastAsiaTheme="majorEastAsia"/>
          <w:bCs/>
          <w:kern w:val="0"/>
          <w:sz w:val="44"/>
          <w:szCs w:val="44"/>
        </w:rPr>
        <w:t>峨边彝族自治县人民代表大会</w:t>
      </w:r>
    </w:p>
    <w:p>
      <w:pPr>
        <w:adjustRightInd w:val="0"/>
        <w:snapToGrid w:val="0"/>
        <w:spacing w:line="580" w:lineRule="exact"/>
        <w:jc w:val="center"/>
        <w:rPr>
          <w:rFonts w:ascii="Times New Roman" w:hAnsiTheme="majorEastAsia" w:eastAsiaTheme="majorEastAsia"/>
          <w:bCs/>
          <w:kern w:val="0"/>
          <w:sz w:val="44"/>
          <w:szCs w:val="44"/>
        </w:rPr>
      </w:pPr>
      <w:r>
        <w:rPr>
          <w:rFonts w:hint="eastAsia" w:ascii="Times New Roman" w:hAnsiTheme="majorEastAsia" w:eastAsiaTheme="majorEastAsia"/>
          <w:bCs/>
          <w:kern w:val="0"/>
          <w:sz w:val="44"/>
          <w:szCs w:val="44"/>
        </w:rPr>
        <w:t>关于废止《峨边彝族自治县施行</w:t>
      </w:r>
    </w:p>
    <w:p>
      <w:pPr>
        <w:adjustRightInd w:val="0"/>
        <w:snapToGrid w:val="0"/>
        <w:spacing w:line="580" w:lineRule="exact"/>
        <w:jc w:val="center"/>
        <w:rPr>
          <w:rFonts w:ascii="Times New Roman" w:hAnsiTheme="majorEastAsia" w:eastAsiaTheme="majorEastAsia"/>
          <w:bCs/>
          <w:kern w:val="0"/>
          <w:sz w:val="44"/>
          <w:szCs w:val="44"/>
        </w:rPr>
      </w:pPr>
      <w:r>
        <w:rPr>
          <w:rFonts w:hint="eastAsia" w:ascii="Times New Roman" w:hAnsiTheme="majorEastAsia" w:eastAsiaTheme="majorEastAsia"/>
          <w:bCs/>
          <w:kern w:val="0"/>
          <w:sz w:val="44"/>
          <w:szCs w:val="44"/>
        </w:rPr>
        <w:t>〈中华人民共和国继承法〉的补充规定》的</w:t>
      </w:r>
    </w:p>
    <w:p>
      <w:pPr>
        <w:adjustRightInd w:val="0"/>
        <w:snapToGrid w:val="0"/>
        <w:spacing w:line="580" w:lineRule="exact"/>
        <w:jc w:val="center"/>
        <w:rPr>
          <w:rFonts w:ascii="Times New Roman" w:hAnsiTheme="majorEastAsia" w:eastAsiaTheme="majorEastAsia"/>
          <w:bCs/>
          <w:kern w:val="0"/>
          <w:sz w:val="44"/>
          <w:szCs w:val="44"/>
        </w:rPr>
      </w:pPr>
      <w:r>
        <w:rPr>
          <w:rFonts w:hint="eastAsia" w:ascii="Times New Roman" w:hAnsiTheme="majorEastAsia" w:eastAsiaTheme="majorEastAsia"/>
          <w:bCs/>
          <w:kern w:val="0"/>
          <w:sz w:val="44"/>
          <w:szCs w:val="44"/>
        </w:rPr>
        <w:t>决定</w:t>
      </w:r>
    </w:p>
    <w:p>
      <w:pPr>
        <w:adjustRightInd w:val="0"/>
        <w:snapToGrid w:val="0"/>
        <w:spacing w:line="580" w:lineRule="exact"/>
        <w:ind w:left="960" w:leftChars="300" w:right="960" w:rightChars="300"/>
        <w:rPr>
          <w:rFonts w:ascii="楷体_GB2312" w:eastAsia="楷体_GB2312"/>
        </w:rPr>
      </w:pPr>
      <w:r>
        <w:rPr>
          <w:rFonts w:hint="eastAsia" w:ascii="楷体_GB2312" w:eastAsia="楷体_GB2312"/>
        </w:rPr>
        <w:t xml:space="preserve">（2021年1月27日峨边彝族自治县第九届人民代表大会第六次会议通过  2021年3月26日四川省第十三届人民代表大会常务委员会第二十六次会议批准） </w:t>
      </w:r>
    </w:p>
    <w:p>
      <w:pPr>
        <w:adjustRightInd w:val="0"/>
        <w:snapToGrid w:val="0"/>
        <w:spacing w:line="580" w:lineRule="exact"/>
        <w:ind w:left="960" w:leftChars="300" w:right="960" w:rightChars="300"/>
        <w:rPr>
          <w:rFonts w:ascii="楷体_GB2312" w:eastAsia="楷体_GB2312"/>
        </w:rPr>
      </w:pPr>
    </w:p>
    <w:p>
      <w:pPr>
        <w:adjustRightInd w:val="0"/>
        <w:snapToGrid w:val="0"/>
        <w:spacing w:line="580" w:lineRule="exact"/>
        <w:ind w:firstLine="640" w:firstLineChars="200"/>
        <w:rPr>
          <w:rFonts w:ascii="仿宋_GB2312" w:hAnsi="仿宋" w:cs="仿宋"/>
          <w:bCs/>
          <w:szCs w:val="32"/>
        </w:rPr>
      </w:pPr>
      <w:r>
        <w:rPr>
          <w:rFonts w:hint="eastAsia" w:ascii="仿宋_GB2312" w:hAnsi="仿宋_GB2312" w:cs="仿宋_GB2312"/>
          <w:bCs/>
          <w:color w:val="000000"/>
          <w:szCs w:val="32"/>
        </w:rPr>
        <w:t>峨边彝族自治县第九届人民代表大会第六次会议决定</w:t>
      </w:r>
      <w:r>
        <w:rPr>
          <w:rFonts w:hint="eastAsia" w:ascii="仿宋_GB2312" w:hAnsi="仿宋" w:cs="仿宋"/>
          <w:bCs/>
          <w:szCs w:val="32"/>
        </w:rPr>
        <w:t>：废止《峨边彝族自治县施行〈</w:t>
      </w:r>
      <w:r>
        <w:rPr>
          <w:rFonts w:hint="eastAsia" w:ascii="仿宋_GB2312" w:hAnsi="仿宋" w:cs="仿宋"/>
          <w:bCs/>
          <w:szCs w:val="32"/>
        </w:rPr>
        <w:t>中华人民共和国继承法〉</w:t>
      </w:r>
      <w:r>
        <w:rPr>
          <w:rFonts w:hint="eastAsia" w:ascii="仿宋_GB2312" w:hAnsi="仿宋" w:cs="仿宋"/>
          <w:bCs/>
          <w:szCs w:val="32"/>
        </w:rPr>
        <w:t>的补充规定》。</w:t>
      </w:r>
    </w:p>
    <w:p>
      <w:pPr>
        <w:adjustRightInd w:val="0"/>
        <w:snapToGrid w:val="0"/>
        <w:spacing w:line="580" w:lineRule="exact"/>
        <w:ind w:firstLine="640" w:firstLineChars="200"/>
        <w:rPr>
          <w:rFonts w:ascii="仿宋_GB2312" w:hAnsi="仿宋" w:cs="仿宋"/>
          <w:bCs/>
          <w:szCs w:val="32"/>
        </w:rPr>
      </w:pPr>
      <w:r>
        <w:rPr>
          <w:rFonts w:hint="eastAsia" w:ascii="仿宋_GB2312" w:hAnsi="仿宋" w:cs="仿宋"/>
          <w:bCs/>
          <w:szCs w:val="32"/>
        </w:rPr>
        <w:t>本决定自公布之日起施行。</w:t>
      </w:r>
      <w:bookmarkStart w:id="0" w:name="_GoBack"/>
      <w:bookmarkEnd w:id="0"/>
    </w:p>
    <w:p>
      <w:pPr>
        <w:adjustRightInd w:val="0"/>
        <w:snapToGrid w:val="0"/>
        <w:spacing w:line="580" w:lineRule="exact"/>
      </w:pPr>
    </w:p>
    <w:sectPr>
      <w:pgSz w:w="11906" w:h="16838"/>
      <w:pgMar w:top="2098" w:right="1588" w:bottom="1814" w:left="1588" w:header="851" w:footer="992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11FA"/>
    <w:rsid w:val="002349EF"/>
    <w:rsid w:val="00481709"/>
    <w:rsid w:val="007311FA"/>
    <w:rsid w:val="7690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Calibri" w:hAnsi="Calibri" w:eastAsia="仿宋_GB2312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Calibri" w:hAnsi="Calibri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30</Words>
  <Characters>171</Characters>
  <Lines>1</Lines>
  <Paragraphs>1</Paragraphs>
  <TotalTime>0</TotalTime>
  <ScaleCrop>false</ScaleCrop>
  <LinksUpToDate>false</LinksUpToDate>
  <CharactersWithSpaces>200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2021-04-13T02:49:00Z</dcterms:created>
  <dc:creator>lenovo</dc:creator>
  <cp:lastModifiedBy>謀丶尛祥</cp:lastModifiedBy>
  <dcterms:modified xsi:type="dcterms:W3CDTF">2021-07-05T02:58:12Z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AD260D4882F547A7A77264E4E94AD538</vt:lpwstr>
  </property>
</Properties>
</file>