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beforeAutospacing="0" w:after="0" w:afterAutospacing="0" w:line="576" w:lineRule="exact"/>
        <w:jc w:val="center"/>
        <w:rPr>
          <w:rFonts w:hint="eastAsia" w:cs="Times New Roman" w:asciiTheme="majorEastAsia" w:hAnsiTheme="majorEastAsia" w:eastAsiaTheme="majorEastAsia"/>
          <w:b/>
          <w:sz w:val="44"/>
          <w:szCs w:val="44"/>
        </w:rPr>
      </w:pPr>
    </w:p>
    <w:p>
      <w:pPr>
        <w:pStyle w:val="3"/>
        <w:spacing w:before="0" w:beforeAutospacing="0" w:after="0" w:afterAutospacing="0" w:line="576" w:lineRule="exact"/>
        <w:jc w:val="center"/>
        <w:rPr>
          <w:rFonts w:cs="Times New Roman" w:asciiTheme="majorEastAsia" w:hAnsiTheme="majorEastAsia" w:eastAsiaTheme="majorEastAsia"/>
          <w:b/>
          <w:sz w:val="44"/>
          <w:szCs w:val="44"/>
        </w:rPr>
      </w:pPr>
    </w:p>
    <w:p>
      <w:pPr>
        <w:pStyle w:val="3"/>
        <w:spacing w:before="0" w:beforeAutospacing="0" w:after="0" w:afterAutospacing="0" w:line="576" w:lineRule="exact"/>
        <w:jc w:val="center"/>
        <w:rPr>
          <w:rFonts w:cs="Times New Roman" w:asciiTheme="minorEastAsia" w:hAnsiTheme="minorEastAsia" w:eastAsiaTheme="minorEastAsia"/>
          <w:sz w:val="44"/>
          <w:szCs w:val="44"/>
        </w:rPr>
      </w:pPr>
      <w:r>
        <w:rPr>
          <w:rFonts w:cs="Times New Roman" w:asciiTheme="minorEastAsia" w:hAnsiTheme="minorEastAsia" w:eastAsiaTheme="minorEastAsia"/>
          <w:sz w:val="44"/>
          <w:szCs w:val="44"/>
        </w:rPr>
        <w:t>成都市人民代表大会常务委员会</w:t>
      </w:r>
    </w:p>
    <w:p>
      <w:pPr>
        <w:pStyle w:val="3"/>
        <w:spacing w:before="0" w:beforeAutospacing="0" w:after="0" w:afterAutospacing="0" w:line="576" w:lineRule="exact"/>
        <w:jc w:val="center"/>
        <w:rPr>
          <w:rFonts w:cs="Times New Roman" w:asciiTheme="minorEastAsia" w:hAnsiTheme="minorEastAsia" w:eastAsiaTheme="minorEastAsia"/>
          <w:sz w:val="44"/>
          <w:szCs w:val="44"/>
        </w:rPr>
      </w:pPr>
      <w:r>
        <w:rPr>
          <w:rFonts w:cs="Times New Roman" w:asciiTheme="minorEastAsia" w:hAnsiTheme="minorEastAsia" w:eastAsiaTheme="minorEastAsia"/>
          <w:sz w:val="44"/>
          <w:szCs w:val="44"/>
        </w:rPr>
        <w:t>关于修改《成都市〈中华人民共和国渔业法〉</w:t>
      </w:r>
    </w:p>
    <w:p>
      <w:pPr>
        <w:pStyle w:val="3"/>
        <w:spacing w:before="0" w:beforeAutospacing="0" w:after="0" w:afterAutospacing="0" w:line="576" w:lineRule="exact"/>
        <w:jc w:val="center"/>
        <w:rPr>
          <w:rFonts w:cs="Times New Roman" w:asciiTheme="minorEastAsia" w:hAnsiTheme="minorEastAsia" w:eastAsiaTheme="minorEastAsia"/>
          <w:sz w:val="44"/>
          <w:szCs w:val="44"/>
        </w:rPr>
      </w:pPr>
      <w:r>
        <w:rPr>
          <w:rFonts w:cs="Times New Roman" w:asciiTheme="minorEastAsia" w:hAnsiTheme="minorEastAsia" w:eastAsiaTheme="minorEastAsia"/>
          <w:sz w:val="44"/>
          <w:szCs w:val="44"/>
        </w:rPr>
        <w:t>实施办</w:t>
      </w:r>
      <w:bookmarkStart w:id="0" w:name="_GoBack"/>
      <w:bookmarkEnd w:id="0"/>
      <w:r>
        <w:rPr>
          <w:rFonts w:cs="Times New Roman" w:asciiTheme="minorEastAsia" w:hAnsiTheme="minorEastAsia" w:eastAsiaTheme="minorEastAsia"/>
          <w:sz w:val="44"/>
          <w:szCs w:val="44"/>
        </w:rPr>
        <w:t>法》的决定</w:t>
      </w:r>
    </w:p>
    <w:p>
      <w:pPr>
        <w:pStyle w:val="3"/>
        <w:spacing w:before="0" w:beforeAutospacing="0" w:after="0" w:afterAutospacing="0" w:line="576" w:lineRule="exact"/>
        <w:ind w:left="630" w:leftChars="300" w:right="630" w:rightChars="300"/>
        <w:rPr>
          <w:rFonts w:ascii="楷体_GB2312" w:hAnsi="Times New Roman" w:eastAsia="楷体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sz w:val="32"/>
          <w:szCs w:val="32"/>
        </w:rPr>
        <w:t>（2018年8月31日成都市第十七届人民代表大会常务委员会第四次会议通过  2018年9月30日四川省第十三届人民代表大会常务委员会第六次会议批准）</w:t>
      </w: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成都市第十七届人民代表大会常务委员会第四次会议决定对《成都市〈中华人民共和国渔业法〉实施办法》作如下修改：</w:t>
      </w: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黑体" w:hAnsi="黑体" w:eastAsia="黑体" w:cs="Times New Roman"/>
          <w:sz w:val="32"/>
          <w:szCs w:val="32"/>
        </w:rPr>
        <w:t>一、</w:t>
      </w:r>
      <w:r>
        <w:rPr>
          <w:rFonts w:ascii="Times New Roman" w:hAnsi="Times New Roman" w:eastAsia="仿宋_GB2312" w:cs="Times New Roman"/>
          <w:sz w:val="32"/>
          <w:szCs w:val="32"/>
        </w:rPr>
        <w:t>将第八条修改为：“市和区（市）县渔业行政主管部门应当按职责加强水产品质量标准体系建设，做好水产品质量安全的监督管理工作。”</w:t>
      </w: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黑体" w:hAnsi="黑体" w:eastAsia="黑体" w:cs="Times New Roman"/>
          <w:sz w:val="32"/>
          <w:szCs w:val="32"/>
        </w:rPr>
        <w:t>二、</w:t>
      </w:r>
      <w:r>
        <w:rPr>
          <w:rFonts w:ascii="Times New Roman" w:hAnsi="Times New Roman" w:eastAsia="仿宋_GB2312" w:cs="Times New Roman"/>
          <w:sz w:val="32"/>
          <w:szCs w:val="32"/>
        </w:rPr>
        <w:t>将第十三条第二款修改为：“市和区（市）县渔业行政主管部门及其所属的渔政监督管理机构应当加强对饵料、渔药、渔饲料和渔饲料添加剂等水产投入品的监督检查，防止其对养殖生产和人体健康的危害。”</w:t>
      </w: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黑体" w:hAnsi="黑体" w:eastAsia="黑体" w:cs="Times New Roman"/>
          <w:sz w:val="32"/>
          <w:szCs w:val="32"/>
        </w:rPr>
        <w:t>三、</w:t>
      </w:r>
      <w:r>
        <w:rPr>
          <w:rFonts w:ascii="Times New Roman" w:hAnsi="Times New Roman" w:eastAsia="仿宋_GB2312" w:cs="Times New Roman"/>
          <w:sz w:val="32"/>
          <w:szCs w:val="32"/>
        </w:rPr>
        <w:t>将第二十二条第一款修改为：“本市天然水域的禁渔期为每年的3月1日至6月30日。”</w:t>
      </w: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黑体" w:hAnsi="黑体" w:eastAsia="黑体" w:cs="Times New Roman"/>
          <w:sz w:val="32"/>
          <w:szCs w:val="32"/>
        </w:rPr>
        <w:t>四、</w:t>
      </w:r>
      <w:r>
        <w:rPr>
          <w:rFonts w:ascii="Times New Roman" w:hAnsi="Times New Roman" w:eastAsia="仿宋_GB2312" w:cs="Times New Roman"/>
          <w:sz w:val="32"/>
          <w:szCs w:val="32"/>
        </w:rPr>
        <w:t>将第三十条修改为：“违反本实施办法规定，有下列行为之一的，给予行政处罚：</w:t>
      </w: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“（一）生产、销售禁用渔具的，使用禁用渔具、捕捞方法捕捞的，没收禁用渔具、渔获物和违法所得，并处以一千元以上一万元以下的罚款；</w:t>
      </w: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“（二）偷捕、抢夺他人养殖的水产品或者破坏他人养殖水体、养殖设施、标志的，责令改正，并处以一千元以上二万元以下罚款；</w:t>
      </w: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“（三）无证生产水产种苗的，没收实物和违法所得，并处以五千元以上五万元以下罚款；有水产种苗生产许可证但违规生产的，责令改正，并处以一千元以上一万元以下的罚款。”</w:t>
      </w: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本决定自公布之日起施行。</w:t>
      </w: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《成都市〈中华人民共和国渔业法〉实施办法》根据本决定作相应修改，重新公布。</w:t>
      </w: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pStyle w:val="3"/>
        <w:spacing w:before="0" w:beforeAutospacing="0" w:after="0" w:afterAutospacing="0" w:line="576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/>
    <w:sectPr>
      <w:footerReference r:id="rId3" w:type="default"/>
      <w:footerReference r:id="rId4" w:type="even"/>
      <w:pgSz w:w="11906" w:h="16838"/>
      <w:pgMar w:top="2098" w:right="1588" w:bottom="1814" w:left="1588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40513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2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 xml:space="preserve">— </w:t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1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 xml:space="preserve"> —</w:t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— </w:t>
    </w:r>
    <w:sdt>
      <w:sdtPr>
        <w:rPr>
          <w:rFonts w:ascii="Times New Roman" w:hAnsi="Times New Roman" w:cs="Times New Roman"/>
          <w:sz w:val="28"/>
          <w:szCs w:val="28"/>
        </w:rPr>
        <w:id w:val="-1441986586"/>
        <w:docPartObj>
          <w:docPartGallery w:val="autotext"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softHyphen/>
        </w:r>
        <w:r>
          <w:rPr>
            <w:rFonts w:ascii="Times New Roman" w:hAnsi="Times New Roman" w:cs="Times New Roman"/>
            <w:sz w:val="28"/>
            <w:szCs w:val="28"/>
          </w:rPr>
          <w:t>—</w:t>
        </w:r>
      </w:sdtContent>
    </w:sdt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26F77"/>
    <w:rsid w:val="3E32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2021-04-23T06:19:00Z</dcterms:created>
  <dc:creator>謀丶尛祥</dc:creator>
  <cp:lastModifiedBy>謀丶尛祥</cp:lastModifiedBy>
  <dcterms:modified xsi:type="dcterms:W3CDTF">2021-04-23T06:19:28Z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02DD478332D7418690391A27994F5C73</vt:lpwstr>
  </property>
</Properties>
</file>