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C8" w:rsidRDefault="004246C8">
      <w:pPr>
        <w:adjustRightInd w:val="0"/>
        <w:snapToGrid w:val="0"/>
        <w:spacing w:line="580" w:lineRule="exact"/>
        <w:jc w:val="center"/>
        <w:rPr>
          <w:rFonts w:ascii="宋体" w:eastAsia="宋体" w:hAnsi="宋体" w:cs="宋体"/>
          <w:sz w:val="32"/>
          <w:szCs w:val="32"/>
        </w:rPr>
      </w:pPr>
    </w:p>
    <w:p w:rsidR="004246C8" w:rsidRDefault="004246C8">
      <w:pPr>
        <w:adjustRightInd w:val="0"/>
        <w:snapToGrid w:val="0"/>
        <w:spacing w:line="580" w:lineRule="exact"/>
        <w:jc w:val="center"/>
        <w:rPr>
          <w:rFonts w:ascii="宋体" w:eastAsia="宋体" w:hAnsi="宋体" w:cs="宋体"/>
          <w:sz w:val="32"/>
          <w:szCs w:val="32"/>
        </w:rPr>
      </w:pPr>
    </w:p>
    <w:p w:rsidR="004246C8" w:rsidRDefault="007D0F71">
      <w:pPr>
        <w:adjustRightInd w:val="0"/>
        <w:snapToGrid w:val="0"/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甘孜藏族自治州施行</w:t>
      </w:r>
    </w:p>
    <w:p w:rsidR="004246C8" w:rsidRDefault="007D0F71">
      <w:pPr>
        <w:adjustRightInd w:val="0"/>
        <w:snapToGrid w:val="0"/>
        <w:spacing w:line="580" w:lineRule="exact"/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《四川省土地管理实施办法》的变通规定</w:t>
      </w:r>
    </w:p>
    <w:p w:rsidR="004246C8" w:rsidRDefault="004246C8">
      <w:pPr>
        <w:adjustRightInd w:val="0"/>
        <w:snapToGrid w:val="0"/>
        <w:spacing w:line="580" w:lineRule="exact"/>
        <w:rPr>
          <w:rFonts w:ascii="宋体" w:eastAsia="宋体" w:hAnsi="宋体" w:cs="宋体"/>
          <w:sz w:val="32"/>
          <w:szCs w:val="32"/>
        </w:rPr>
      </w:pPr>
    </w:p>
    <w:p w:rsidR="004246C8" w:rsidRDefault="007D0F71" w:rsidP="003C1A46">
      <w:pPr>
        <w:adjustRightInd w:val="0"/>
        <w:snapToGrid w:val="0"/>
        <w:spacing w:line="580" w:lineRule="exact"/>
        <w:ind w:leftChars="300" w:left="609" w:rightChars="300" w:right="60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（1990年12月21日甘孜藏族自治州第六届人民代表大会常务委员会第十次会议通过</w:t>
      </w:r>
      <w:r w:rsidR="00A9224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>1991年5月2</w:t>
      </w:r>
      <w:r>
        <w:rPr>
          <w:rFonts w:ascii="楷体_GB2312" w:eastAsia="楷体_GB2312"/>
          <w:sz w:val="32"/>
          <w:szCs w:val="32"/>
        </w:rPr>
        <w:t>8</w:t>
      </w:r>
      <w:r>
        <w:rPr>
          <w:rFonts w:ascii="楷体_GB2312" w:eastAsia="楷体_GB2312" w:hint="eastAsia"/>
          <w:sz w:val="32"/>
          <w:szCs w:val="32"/>
        </w:rPr>
        <w:t>日四川省第七届人民代表大会常务委员会第二十三次会议批准）</w:t>
      </w:r>
    </w:p>
    <w:p w:rsidR="004246C8" w:rsidRDefault="004246C8">
      <w:pPr>
        <w:adjustRightInd w:val="0"/>
        <w:snapToGrid w:val="0"/>
        <w:spacing w:line="580" w:lineRule="exact"/>
        <w:rPr>
          <w:rFonts w:ascii="宋体" w:eastAsia="宋体" w:hAnsi="宋体" w:cs="宋体"/>
          <w:sz w:val="32"/>
          <w:szCs w:val="32"/>
        </w:rPr>
      </w:pP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 w:rsidR="00A9224B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根据《中华人民共和国土地管理法》和《四川省土地管理实施办法》的规定，结合甘孜藏族自治州的民族、地域特点和土地保护、管理、使用的实际情况，制定本变通规定。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 w:rsidR="00A9224B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自治州的县城、建制镇规划区内的土地和农村牧区的水域、林地、山岭、草地、荒地、滩涂等土地，除法律规定属于集体所有的以外，属于国家所有；耕地，除法律规定属于国家所有的以外，属于集体所有；农牧民使用的宅基地、自留地、自留山，属于集体所有。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国有土地依法确定给农村集体或个人开发种植、养殖，其所有权不变。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 w:rsidR="00A9224B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自治州内国家机关、企业事业单位和其他组织，因撤销、搬迁、建筑物拆除或灾害损毁所空出的土地和个人空出的</w:t>
      </w:r>
      <w:r>
        <w:rPr>
          <w:rFonts w:ascii="仿宋_GB2312" w:eastAsia="仿宋_GB2312" w:hint="eastAsia"/>
          <w:sz w:val="32"/>
          <w:szCs w:val="32"/>
        </w:rPr>
        <w:lastRenderedPageBreak/>
        <w:t>宅基地，必须归还土地所有者，不得擅自转让和处置。需要重建的，必须依法办理续用手续。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 w:rsidR="00A9224B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建设用地正式划拨后，石渠、色达、德格、理塘、白玉、稻城县境内一年未破土动工的，道孚、炉霍、甘孜、新龙县境内十个月未破土动工的，泸定、康定、丹巴、九龙、雅江、得荣、乡城、巴塘县境内八个月未破土动工的，视作荒芜土地，收缴荒芜费。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 w:rsidR="00A9224B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建设用地的审批权限: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县人民政府批准耕地三亩以下（含三亩），其它土地十亩以下（含十亩）。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自治州人民政府批准耕地三亩以上至二十亩，其它土地十亩以上至六十亩。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 w:rsidR="00A9224B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在城镇规划区内，城镇居民、干部、职工新建住宅的，宅基地标准:康定、泸定、丹巴、雅江、得荣、德格、新龙七县，每人不得超过十五平方米；九龙、乡城、稻城、巴塘、道孚、甘孜、白玉、炉霍八县，每人不得超过二十五平方米；理塘、石渠、色达三县，每人不得超过四十平方米。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城镇规划区内的农民户，每户可增加宅基地三十平方米。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村民和回乡落户的干部、职工、城镇居民需要在农村建房者，其宅基地面积标准:河谷地带，每人30—40平方米</w:t>
      </w:r>
      <w:bookmarkStart w:id="0" w:name="_GoBack"/>
      <w:r w:rsidR="003C1A46" w:rsidRPr="00A9224B">
        <w:rPr>
          <w:rFonts w:ascii="仿宋_GB2312" w:eastAsia="仿宋_GB2312" w:hint="eastAsia"/>
          <w:color w:val="000000" w:themeColor="text1"/>
          <w:sz w:val="32"/>
          <w:szCs w:val="32"/>
        </w:rPr>
        <w:t>；</w:t>
      </w:r>
      <w:bookmarkEnd w:id="0"/>
      <w:r>
        <w:rPr>
          <w:rFonts w:ascii="仿宋_GB2312" w:eastAsia="仿宋_GB2312" w:hint="eastAsia"/>
          <w:sz w:val="32"/>
          <w:szCs w:val="32"/>
        </w:rPr>
        <w:t>半高山以上，每人40—50平方米。耕地特少的地方，宅基地面积须从严控制。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四人以下的户按四人计算，六人以上的户按六人计算。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在城镇规划区外新建住宅全部使用非耕地的，用地面积可以适当增加，增加部分每户最多不得超过五十平方米。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 w:rsidR="00A9224B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经县以上宗教管理部门批准常驻寺庙的僧尼，其住房用地，由寺庙管理委员会在已划定的本寺庙范围内统一安排。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 w:rsidR="00A9224B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本规定未涉及的条款，均按《中华人民共和国土地管理法》和《四川省土地管理实施办法》的规定执行。</w:t>
      </w:r>
    </w:p>
    <w:p w:rsidR="004246C8" w:rsidRDefault="007D0F71" w:rsidP="003C1A46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 w:rsidR="00A9224B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本变通规定应用中的具体问题，由州国土局负责解释。</w:t>
      </w:r>
    </w:p>
    <w:p w:rsidR="004246C8" w:rsidRDefault="007D0F71" w:rsidP="004246C8">
      <w:pPr>
        <w:adjustRightInd w:val="0"/>
        <w:snapToGrid w:val="0"/>
        <w:spacing w:line="580" w:lineRule="exact"/>
        <w:ind w:firstLineChars="200" w:firstLine="626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 w:rsidR="00A9224B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本变通规定报经四川省人民代表大会常务委员会批准后生效，从颁布之日起施行。</w:t>
      </w:r>
    </w:p>
    <w:sectPr w:rsidR="004246C8" w:rsidSect="00E968A7">
      <w:headerReference w:type="default" r:id="rId7"/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425"/>
      <w:docGrid w:type="linesAndChars" w:linePitch="312" w:charSpace="-14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ABA" w:rsidRDefault="00E20ABA">
      <w:r>
        <w:separator/>
      </w:r>
    </w:p>
  </w:endnote>
  <w:endnote w:type="continuationSeparator" w:id="1">
    <w:p w:rsidR="00E20ABA" w:rsidRDefault="00E20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6C8" w:rsidRDefault="007D0F71">
    <w:pPr>
      <w:pStyle w:val="a3"/>
      <w:ind w:firstLineChars="100" w:firstLine="280"/>
      <w:rPr>
        <w:rFonts w:asciiTheme="minorEastAsia" w:hAnsiTheme="minorEastAsia"/>
        <w:sz w:val="28"/>
        <w:szCs w:val="28"/>
      </w:rPr>
    </w:pPr>
    <w:r>
      <w:rPr>
        <w:rFonts w:asciiTheme="minorEastAsia" w:hAnsiTheme="minorEastAsia" w:hint="eastAsia"/>
        <w:sz w:val="28"/>
        <w:szCs w:val="28"/>
      </w:rPr>
      <w:t>—</w:t>
    </w:r>
    <w:sdt>
      <w:sdtPr>
        <w:rPr>
          <w:rFonts w:asciiTheme="minorEastAsia" w:hAnsiTheme="minorEastAsia"/>
          <w:sz w:val="28"/>
          <w:szCs w:val="28"/>
        </w:rPr>
        <w:id w:val="-1328748828"/>
      </w:sdtPr>
      <w:sdtContent>
        <w:r w:rsidR="00E968A7"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 w:rsidR="00E968A7">
          <w:rPr>
            <w:rFonts w:asciiTheme="minorEastAsia" w:hAnsiTheme="minorEastAsia"/>
            <w:sz w:val="28"/>
            <w:szCs w:val="28"/>
          </w:rPr>
          <w:fldChar w:fldCharType="separate"/>
        </w:r>
        <w:r w:rsidR="00A9224B" w:rsidRPr="00A9224B">
          <w:rPr>
            <w:rFonts w:asciiTheme="minorEastAsia" w:hAnsiTheme="minorEastAsia"/>
            <w:noProof/>
            <w:sz w:val="28"/>
            <w:szCs w:val="28"/>
            <w:lang w:val="zh-CN"/>
          </w:rPr>
          <w:t>2</w:t>
        </w:r>
        <w:r w:rsidR="00E968A7"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sdtContent>
    </w:sdt>
  </w:p>
  <w:p w:rsidR="004246C8" w:rsidRDefault="004246C8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hAnsiTheme="minorEastAsia"/>
        <w:sz w:val="28"/>
        <w:szCs w:val="28"/>
      </w:rPr>
      <w:id w:val="1835949630"/>
    </w:sdtPr>
    <w:sdtContent>
      <w:p w:rsidR="004246C8" w:rsidRDefault="007D0F71">
        <w:pPr>
          <w:pStyle w:val="a3"/>
          <w:ind w:right="28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 w:rsidR="00E968A7"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 w:rsidR="00E968A7">
          <w:rPr>
            <w:rFonts w:asciiTheme="minorEastAsia" w:hAnsiTheme="minorEastAsia"/>
            <w:sz w:val="28"/>
            <w:szCs w:val="28"/>
          </w:rPr>
          <w:fldChar w:fldCharType="separate"/>
        </w:r>
        <w:r w:rsidR="00A9224B" w:rsidRPr="00A9224B">
          <w:rPr>
            <w:rFonts w:asciiTheme="minorEastAsia" w:hAnsiTheme="minorEastAsia"/>
            <w:noProof/>
            <w:sz w:val="28"/>
            <w:szCs w:val="28"/>
            <w:lang w:val="zh-CN"/>
          </w:rPr>
          <w:t>1</w:t>
        </w:r>
        <w:r w:rsidR="00E968A7"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p>
    </w:sdtContent>
  </w:sdt>
  <w:p w:rsidR="004246C8" w:rsidRDefault="004246C8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ABA" w:rsidRDefault="00E20ABA">
      <w:r>
        <w:separator/>
      </w:r>
    </w:p>
  </w:footnote>
  <w:footnote w:type="continuationSeparator" w:id="1">
    <w:p w:rsidR="00E20ABA" w:rsidRDefault="00E20A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6C8" w:rsidRDefault="004246C8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B3A"/>
    <w:rsid w:val="00177B3A"/>
    <w:rsid w:val="0036387B"/>
    <w:rsid w:val="003C1A46"/>
    <w:rsid w:val="0041338B"/>
    <w:rsid w:val="004246C8"/>
    <w:rsid w:val="00707B5E"/>
    <w:rsid w:val="007D0F71"/>
    <w:rsid w:val="00A9224B"/>
    <w:rsid w:val="00B20934"/>
    <w:rsid w:val="00E20ABA"/>
    <w:rsid w:val="00E968A7"/>
    <w:rsid w:val="027B59D7"/>
    <w:rsid w:val="205F5902"/>
    <w:rsid w:val="22144BCC"/>
    <w:rsid w:val="33B4043E"/>
    <w:rsid w:val="345A2DCA"/>
    <w:rsid w:val="354E4CFE"/>
    <w:rsid w:val="36B93BAE"/>
    <w:rsid w:val="3EE5581D"/>
    <w:rsid w:val="43964F61"/>
    <w:rsid w:val="46800D32"/>
    <w:rsid w:val="4FDC62DE"/>
    <w:rsid w:val="55157C91"/>
    <w:rsid w:val="55216121"/>
    <w:rsid w:val="61AA1F77"/>
    <w:rsid w:val="67C25B21"/>
    <w:rsid w:val="75964509"/>
    <w:rsid w:val="7D061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8A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E96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E96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E968A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968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A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A4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A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A4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171</Words>
  <Characters>980</Characters>
  <Application>Microsoft Office Word</Application>
  <DocSecurity>0</DocSecurity>
  <Lines>8</Lines>
  <Paragraphs>2</Paragraphs>
  <ScaleCrop>false</ScaleCrop>
  <Company>Microsoft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2017-02-22T03:01:00Z</dcterms:created>
  <dcterms:modified xsi:type="dcterms:W3CDTF">2017-03-06T00:59:00Z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